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3EE3" w14:textId="77777777" w:rsidR="007635D5" w:rsidRDefault="007635D5" w:rsidP="007635D5">
      <w:pPr>
        <w:ind w:left="397" w:right="397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Dokumentacja dotycząca wybranej formy zabezpieczenia</w:t>
      </w:r>
    </w:p>
    <w:p w14:paraId="45AE3343" w14:textId="77777777" w:rsidR="007635D5" w:rsidRDefault="007635D5" w:rsidP="007635D5">
      <w:pPr>
        <w:ind w:left="397" w:right="397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46F17AA7" w14:textId="77777777" w:rsidR="007635D5" w:rsidRDefault="007635D5" w:rsidP="007635D5">
      <w:pPr>
        <w:ind w:left="397" w:right="397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Obligatoryjne zabezpieczenie:</w:t>
      </w:r>
    </w:p>
    <w:p w14:paraId="06163694" w14:textId="77777777" w:rsidR="00551F36" w:rsidRDefault="00551F36" w:rsidP="00551F36">
      <w:pPr>
        <w:ind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38FB2AA4" w14:textId="3F8B475A" w:rsidR="007635D5" w:rsidRPr="00F92387" w:rsidRDefault="007635D5" w:rsidP="00F67512">
      <w:pPr>
        <w:pStyle w:val="Akapitzlist"/>
        <w:numPr>
          <w:ilvl w:val="0"/>
          <w:numId w:val="28"/>
        </w:numPr>
        <w:ind w:right="397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92387">
        <w:rPr>
          <w:rFonts w:ascii="Calibri" w:eastAsia="Times New Roman" w:hAnsi="Calibri" w:cs="Times New Roman"/>
          <w:b/>
          <w:lang w:eastAsia="pl-PL"/>
        </w:rPr>
        <w:t>WEKSEL IN BLANCO</w:t>
      </w:r>
    </w:p>
    <w:p w14:paraId="169FA47B" w14:textId="77777777" w:rsidR="007635D5" w:rsidRDefault="007635D5" w:rsidP="007635D5">
      <w:pPr>
        <w:autoSpaceDE w:val="0"/>
        <w:autoSpaceDN w:val="0"/>
        <w:adjustRightInd w:val="0"/>
        <w:ind w:left="397" w:right="397"/>
        <w:jc w:val="both"/>
        <w:rPr>
          <w:rFonts w:ascii="Calibri" w:eastAsia="Calibri" w:hAnsi="Calibri" w:cs="Times New Roman"/>
          <w:bCs/>
          <w:lang w:eastAsia="hi-IN"/>
        </w:rPr>
      </w:pPr>
    </w:p>
    <w:p w14:paraId="59FA1B6C" w14:textId="77777777" w:rsidR="00EE4A92" w:rsidRDefault="00EE4A92" w:rsidP="007635D5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o</w:t>
      </w:r>
      <w:r w:rsidR="00821DE4">
        <w:rPr>
          <w:rFonts w:eastAsia="Times New Roman" w:cs="Times New Roman"/>
          <w:iCs/>
        </w:rPr>
        <w:t xml:space="preserve">raz </w:t>
      </w:r>
      <w:r w:rsidR="00821DE4" w:rsidRPr="00821DE4">
        <w:rPr>
          <w:rFonts w:eastAsia="Times New Roman" w:cs="Times New Roman"/>
          <w:iCs/>
        </w:rPr>
        <w:t>co najmniej jedno z poniższych- w przypadku kwoty pożyczki  powyżej 20</w:t>
      </w:r>
      <w:r>
        <w:rPr>
          <w:rFonts w:eastAsia="Times New Roman" w:cs="Times New Roman"/>
          <w:iCs/>
        </w:rPr>
        <w:t>.000,00 PLN</w:t>
      </w:r>
      <w:r w:rsidR="00821DE4">
        <w:rPr>
          <w:rStyle w:val="Odwoanieprzypisudolnego"/>
          <w:rFonts w:eastAsia="Times New Roman" w:cs="Times New Roman"/>
          <w:iCs/>
        </w:rPr>
        <w:footnoteReference w:id="1"/>
      </w:r>
      <w:r>
        <w:rPr>
          <w:rFonts w:eastAsia="Times New Roman" w:cs="Times New Roman"/>
          <w:iCs/>
        </w:rPr>
        <w:t>:</w:t>
      </w:r>
    </w:p>
    <w:p w14:paraId="5AFE6390" w14:textId="1B93251B" w:rsidR="00EE4A92" w:rsidRDefault="00EE4A92" w:rsidP="007635D5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- </w:t>
      </w:r>
      <w:r w:rsidR="00455941" w:rsidRPr="00455941">
        <w:rPr>
          <w:rFonts w:eastAsia="Times New Roman" w:cs="Times New Roman"/>
          <w:iCs/>
        </w:rPr>
        <w:t>poręczenie wekslowe lub cywilne osób trzecich</w:t>
      </w:r>
      <w:r w:rsidR="00831FEA">
        <w:rPr>
          <w:rFonts w:eastAsia="Times New Roman" w:cs="Times New Roman"/>
          <w:iCs/>
        </w:rPr>
        <w:t>;</w:t>
      </w:r>
    </w:p>
    <w:p w14:paraId="7BC1282F" w14:textId="4299A890" w:rsidR="00831FEA" w:rsidRDefault="00EE4A92" w:rsidP="007635D5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- </w:t>
      </w:r>
      <w:r w:rsidR="00455941" w:rsidRPr="00455941">
        <w:rPr>
          <w:rFonts w:eastAsia="Times New Roman" w:cs="Times New Roman"/>
          <w:iCs/>
        </w:rPr>
        <w:t>zastaw rejestrowy wraz z przelewem wierzytelności z umowy ubezpieczenia majątkowego</w:t>
      </w:r>
      <w:r w:rsidR="00831FEA">
        <w:rPr>
          <w:rFonts w:eastAsia="Times New Roman" w:cs="Times New Roman"/>
          <w:iCs/>
        </w:rPr>
        <w:t>;</w:t>
      </w:r>
      <w:r w:rsidR="00455941" w:rsidRPr="00455941">
        <w:rPr>
          <w:rFonts w:eastAsia="Times New Roman" w:cs="Times New Roman"/>
          <w:iCs/>
        </w:rPr>
        <w:t xml:space="preserve"> </w:t>
      </w:r>
    </w:p>
    <w:p w14:paraId="443F72B7" w14:textId="0BBC7678" w:rsidR="00831FEA" w:rsidRDefault="00831FEA" w:rsidP="007635D5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- </w:t>
      </w:r>
      <w:r w:rsidR="00455941" w:rsidRPr="00455941">
        <w:rPr>
          <w:rFonts w:eastAsia="Times New Roman" w:cs="Times New Roman"/>
          <w:iCs/>
        </w:rPr>
        <w:t>przewłaszczenie wraz z przelewem wierzytelności z umowy ubezpieczenia majątkowego</w:t>
      </w:r>
      <w:r>
        <w:rPr>
          <w:rFonts w:eastAsia="Times New Roman" w:cs="Times New Roman"/>
          <w:iCs/>
        </w:rPr>
        <w:t>;</w:t>
      </w:r>
      <w:r w:rsidR="00455941" w:rsidRPr="00455941">
        <w:rPr>
          <w:rFonts w:eastAsia="Times New Roman" w:cs="Times New Roman"/>
          <w:iCs/>
        </w:rPr>
        <w:t xml:space="preserve"> </w:t>
      </w:r>
    </w:p>
    <w:p w14:paraId="7F2DE298" w14:textId="6CDB9F7A" w:rsidR="00831FEA" w:rsidRDefault="00831FEA" w:rsidP="007635D5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- </w:t>
      </w:r>
      <w:r w:rsidR="00455941" w:rsidRPr="00455941">
        <w:rPr>
          <w:rFonts w:eastAsia="Times New Roman" w:cs="Times New Roman"/>
          <w:iCs/>
        </w:rPr>
        <w:t>hipotek</w:t>
      </w:r>
      <w:r>
        <w:rPr>
          <w:rFonts w:eastAsia="Times New Roman" w:cs="Times New Roman"/>
          <w:iCs/>
        </w:rPr>
        <w:t>a</w:t>
      </w:r>
      <w:r w:rsidR="00455941" w:rsidRPr="00455941">
        <w:rPr>
          <w:rFonts w:eastAsia="Times New Roman" w:cs="Times New Roman"/>
          <w:iCs/>
        </w:rPr>
        <w:t xml:space="preserve"> na nieruchomości (ustanawianą notarialnie) wraz z cesją praw z polisy ubezpieczeniowej</w:t>
      </w:r>
      <w:r w:rsidR="003D54D8">
        <w:rPr>
          <w:rFonts w:eastAsia="Times New Roman" w:cs="Times New Roman"/>
          <w:iCs/>
        </w:rPr>
        <w:t>;</w:t>
      </w:r>
      <w:r w:rsidR="00455941" w:rsidRPr="00455941">
        <w:rPr>
          <w:rFonts w:eastAsia="Times New Roman" w:cs="Times New Roman"/>
          <w:iCs/>
        </w:rPr>
        <w:t xml:space="preserve"> </w:t>
      </w:r>
    </w:p>
    <w:p w14:paraId="56DBB29E" w14:textId="4560361C" w:rsidR="003D54D8" w:rsidRDefault="00831FEA" w:rsidP="007635D5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- </w:t>
      </w:r>
      <w:r w:rsidR="00455941" w:rsidRPr="00455941">
        <w:rPr>
          <w:rFonts w:eastAsia="Times New Roman" w:cs="Times New Roman"/>
          <w:iCs/>
        </w:rPr>
        <w:t xml:space="preserve">poddanie się egzekucji w trybie art. 777 § 1 pkt 4-6 </w:t>
      </w:r>
      <w:proofErr w:type="spellStart"/>
      <w:r w:rsidR="00455941" w:rsidRPr="00455941">
        <w:rPr>
          <w:rFonts w:eastAsia="Times New Roman" w:cs="Times New Roman"/>
          <w:iCs/>
        </w:rPr>
        <w:t>k.p.c</w:t>
      </w:r>
      <w:proofErr w:type="spellEnd"/>
      <w:r>
        <w:rPr>
          <w:rFonts w:eastAsia="Times New Roman" w:cs="Times New Roman"/>
          <w:iCs/>
        </w:rPr>
        <w:t xml:space="preserve">; </w:t>
      </w:r>
    </w:p>
    <w:p w14:paraId="1163E2DA" w14:textId="04FC8C5D" w:rsidR="007635D5" w:rsidRDefault="00831FEA" w:rsidP="007635D5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- </w:t>
      </w:r>
      <w:r w:rsidR="00455941" w:rsidRPr="00455941">
        <w:rPr>
          <w:rFonts w:eastAsia="Times New Roman" w:cs="Times New Roman"/>
          <w:iCs/>
        </w:rPr>
        <w:t>inne zabezpieczenia (depozyt gwarancyjny lub blokad</w:t>
      </w:r>
      <w:r w:rsidR="003D54D8">
        <w:rPr>
          <w:rFonts w:eastAsia="Times New Roman" w:cs="Times New Roman"/>
          <w:iCs/>
        </w:rPr>
        <w:t>a</w:t>
      </w:r>
      <w:r w:rsidR="00455941" w:rsidRPr="00455941">
        <w:rPr>
          <w:rFonts w:eastAsia="Times New Roman" w:cs="Times New Roman"/>
          <w:iCs/>
        </w:rPr>
        <w:t xml:space="preserve"> pieniężn</w:t>
      </w:r>
      <w:r w:rsidR="003D54D8">
        <w:rPr>
          <w:rFonts w:eastAsia="Times New Roman" w:cs="Times New Roman"/>
          <w:iCs/>
        </w:rPr>
        <w:t>a</w:t>
      </w:r>
      <w:r w:rsidR="00455941" w:rsidRPr="00455941">
        <w:rPr>
          <w:rFonts w:eastAsia="Times New Roman" w:cs="Times New Roman"/>
          <w:iCs/>
        </w:rPr>
        <w:t>, blokad</w:t>
      </w:r>
      <w:r w:rsidR="003D54D8">
        <w:rPr>
          <w:rFonts w:eastAsia="Times New Roman" w:cs="Times New Roman"/>
          <w:iCs/>
        </w:rPr>
        <w:t>a</w:t>
      </w:r>
      <w:r w:rsidR="00455941" w:rsidRPr="00455941">
        <w:rPr>
          <w:rFonts w:eastAsia="Times New Roman" w:cs="Times New Roman"/>
          <w:iCs/>
        </w:rPr>
        <w:t xml:space="preserve"> jednostek w funduszach inwestycyjnych, gwarancj</w:t>
      </w:r>
      <w:r w:rsidR="003D54D8">
        <w:rPr>
          <w:rFonts w:eastAsia="Times New Roman" w:cs="Times New Roman"/>
          <w:iCs/>
        </w:rPr>
        <w:t>a</w:t>
      </w:r>
      <w:r w:rsidR="00455941" w:rsidRPr="00455941">
        <w:rPr>
          <w:rFonts w:eastAsia="Times New Roman" w:cs="Times New Roman"/>
          <w:iCs/>
        </w:rPr>
        <w:t xml:space="preserve"> bankow</w:t>
      </w:r>
      <w:r w:rsidR="003D54D8">
        <w:rPr>
          <w:rFonts w:eastAsia="Times New Roman" w:cs="Times New Roman"/>
          <w:iCs/>
        </w:rPr>
        <w:t>a</w:t>
      </w:r>
      <w:r w:rsidR="00455941" w:rsidRPr="00455941">
        <w:rPr>
          <w:rFonts w:eastAsia="Times New Roman" w:cs="Times New Roman"/>
          <w:iCs/>
        </w:rPr>
        <w:t>, pełnomocnictwo do dysponowania rachunkiem/ rachunkami bankowymi Pożyczkobiorcy)</w:t>
      </w:r>
      <w:r w:rsidR="003D54D8">
        <w:rPr>
          <w:rFonts w:eastAsia="Times New Roman" w:cs="Times New Roman"/>
          <w:iCs/>
        </w:rPr>
        <w:t xml:space="preserve">. </w:t>
      </w:r>
      <w:r w:rsidR="007635D5">
        <w:rPr>
          <w:rFonts w:eastAsia="Times New Roman" w:cs="Times New Roman"/>
          <w:iCs/>
        </w:rPr>
        <w:t xml:space="preserve"> </w:t>
      </w:r>
    </w:p>
    <w:p w14:paraId="40028316" w14:textId="77777777" w:rsidR="007635D5" w:rsidRPr="000176A6" w:rsidRDefault="007635D5" w:rsidP="000176A6">
      <w:pPr>
        <w:autoSpaceDE w:val="0"/>
        <w:autoSpaceDN w:val="0"/>
        <w:adjustRightInd w:val="0"/>
        <w:ind w:right="397"/>
        <w:jc w:val="center"/>
        <w:rPr>
          <w:rFonts w:ascii="Calibri" w:eastAsia="Calibri" w:hAnsi="Calibri" w:cs="Times New Roman"/>
          <w:b/>
          <w:u w:val="single"/>
        </w:rPr>
      </w:pPr>
      <w:r w:rsidRPr="000176A6">
        <w:rPr>
          <w:rFonts w:ascii="Calibri" w:eastAsia="Calibri" w:hAnsi="Calibri" w:cs="Times New Roman"/>
          <w:b/>
          <w:u w:val="single"/>
        </w:rPr>
        <w:t>Ostateczna forma zabezpieczenia spłaty pożyczki ustalana jest indywidualnie i zależna jest od wyniku oceny ryzyka niespłacenia pożyczki  przez Pożyczkobiorcę i jego stanu majątkowego.</w:t>
      </w:r>
    </w:p>
    <w:p w14:paraId="3B6BBE2E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2F6BC6B9" w14:textId="44CB6DF4" w:rsidR="007635D5" w:rsidRPr="00F92387" w:rsidRDefault="007635D5" w:rsidP="00F67512">
      <w:pPr>
        <w:pStyle w:val="Akapitzlist"/>
        <w:numPr>
          <w:ilvl w:val="0"/>
          <w:numId w:val="28"/>
        </w:numPr>
        <w:ind w:right="397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 w:rsidRPr="00F92387">
        <w:rPr>
          <w:rFonts w:ascii="Calibri" w:eastAsia="Times New Roman" w:hAnsi="Calibri" w:cs="Times New Roman"/>
          <w:b/>
          <w:u w:val="single"/>
          <w:lang w:eastAsia="pl-PL"/>
        </w:rPr>
        <w:t>PORĘCZENIE WEKSLOWE OSOBY FIZYCZNEJ</w:t>
      </w:r>
    </w:p>
    <w:p w14:paraId="54B38325" w14:textId="77777777" w:rsidR="007635D5" w:rsidRDefault="007635D5" w:rsidP="007635D5">
      <w:pPr>
        <w:tabs>
          <w:tab w:val="left" w:pos="851"/>
        </w:tabs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>W przypadku pozostawania poręczyciela w związku małżeńskim, w którym wspólność  małżeńska nie została ograniczona ani wyłączona, wymagane jest poręczenie obojga małżonków.</w:t>
      </w:r>
    </w:p>
    <w:p w14:paraId="05BAF76A" w14:textId="77777777" w:rsidR="007635D5" w:rsidRPr="00AA01BC" w:rsidRDefault="007635D5" w:rsidP="007635D5">
      <w:pPr>
        <w:tabs>
          <w:tab w:val="left" w:pos="851"/>
        </w:tabs>
        <w:ind w:left="397" w:right="397"/>
        <w:jc w:val="both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 w:rsidRPr="00AA01BC">
        <w:rPr>
          <w:rFonts w:ascii="Calibri" w:eastAsia="Times New Roman" w:hAnsi="Calibri" w:cs="Times New Roman"/>
          <w:b/>
          <w:bCs/>
          <w:u w:val="single"/>
          <w:lang w:eastAsia="pl-PL"/>
        </w:rPr>
        <w:t xml:space="preserve">Nie są akceptowane dochody poręczycieli osiągane poza granicami kraju.  </w:t>
      </w:r>
    </w:p>
    <w:p w14:paraId="70B2503B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 Emeryta)</w:t>
      </w:r>
    </w:p>
    <w:p w14:paraId="03BCE684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kwestionariusz Poręczyciela</w:t>
      </w:r>
    </w:p>
    <w:p w14:paraId="00E40BD5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decyzji o przyznaniu emerytury</w:t>
      </w:r>
    </w:p>
    <w:p w14:paraId="47A68E7F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wyciąg bankowy potwierdzający wpływ emerytury na rachunek za ostatni miesiąc lub pokwitowanie odbioru w przypadku otrzymywania emerytury w formie gotówkowej</w:t>
      </w:r>
    </w:p>
    <w:p w14:paraId="59F60E90" w14:textId="35863892" w:rsidR="007635D5" w:rsidRPr="00AA01BC" w:rsidRDefault="007635D5" w:rsidP="00AA01B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- kopia dokumentu tożsamości</w:t>
      </w:r>
    </w:p>
    <w:p w14:paraId="522CFE49" w14:textId="77777777" w:rsidR="007635D5" w:rsidRDefault="007635D5" w:rsidP="007635D5">
      <w:pPr>
        <w:spacing w:after="0"/>
        <w:ind w:left="397" w:right="397"/>
        <w:rPr>
          <w:rFonts w:ascii="Calibri" w:eastAsia="Times New Roman" w:hAnsi="Calibri" w:cs="Times New Roman"/>
          <w:b/>
          <w:lang w:eastAsia="pl-PL"/>
        </w:rPr>
      </w:pPr>
    </w:p>
    <w:p w14:paraId="2608CF42" w14:textId="793507B7" w:rsidR="007635D5" w:rsidRDefault="007635D5" w:rsidP="007635D5">
      <w:pPr>
        <w:spacing w:after="0"/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(Umowa o pracę</w:t>
      </w:r>
      <w:r w:rsidR="00AA01BC">
        <w:rPr>
          <w:rFonts w:ascii="Calibri" w:eastAsia="Times New Roman" w:hAnsi="Calibri" w:cs="Times New Roman"/>
          <w:b/>
          <w:lang w:eastAsia="pl-PL"/>
        </w:rPr>
        <w:t>)</w:t>
      </w:r>
    </w:p>
    <w:p w14:paraId="24DDFB87" w14:textId="3EBE4FD1" w:rsidR="007635D5" w:rsidRDefault="007635D5" w:rsidP="007635D5">
      <w:pPr>
        <w:spacing w:after="0"/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- </w:t>
      </w:r>
      <w:r>
        <w:rPr>
          <w:rFonts w:ascii="Calibri" w:eastAsia="Times New Roman" w:hAnsi="Calibri" w:cs="Times New Roman"/>
          <w:lang w:eastAsia="pl-PL"/>
        </w:rPr>
        <w:t>kwestionariusz poręczyciela</w:t>
      </w:r>
    </w:p>
    <w:p w14:paraId="73071E1E" w14:textId="77777777" w:rsidR="007635D5" w:rsidRDefault="007635D5" w:rsidP="007635D5">
      <w:pPr>
        <w:spacing w:after="0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zaświadczenie o zatrudnieniu wypełnione przez zakład pracy (nie starsze niż 30 dni)</w:t>
      </w:r>
    </w:p>
    <w:p w14:paraId="731B47F3" w14:textId="77777777" w:rsidR="007635D5" w:rsidRDefault="007635D5" w:rsidP="007635D5">
      <w:pPr>
        <w:spacing w:after="0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wyciąg bankowy potwierdzający wpływ wynagrodzenia na rachunek</w:t>
      </w:r>
    </w:p>
    <w:p w14:paraId="78A43A92" w14:textId="77777777" w:rsidR="007635D5" w:rsidRDefault="007635D5" w:rsidP="007635D5">
      <w:pPr>
        <w:spacing w:after="0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dokumentu tożsamości</w:t>
      </w:r>
    </w:p>
    <w:p w14:paraId="4F67F8A3" w14:textId="77777777" w:rsidR="007635D5" w:rsidRDefault="007635D5" w:rsidP="007635D5">
      <w:pPr>
        <w:spacing w:after="0"/>
        <w:ind w:left="397" w:right="397"/>
        <w:rPr>
          <w:rFonts w:ascii="Calibri" w:eastAsia="Times New Roman" w:hAnsi="Calibri" w:cs="Times New Roman"/>
          <w:lang w:eastAsia="pl-PL"/>
        </w:rPr>
      </w:pPr>
    </w:p>
    <w:p w14:paraId="62BA59F5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(Działalność gospodarcza, prowadzona co najmniej 2 lata)</w:t>
      </w:r>
    </w:p>
    <w:p w14:paraId="2219F68E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- </w:t>
      </w:r>
      <w:r>
        <w:rPr>
          <w:rFonts w:ascii="Calibri" w:eastAsia="Times New Roman" w:hAnsi="Calibri" w:cs="Times New Roman"/>
          <w:lang w:eastAsia="pl-PL"/>
        </w:rPr>
        <w:t>kwestionariusz poręczyciela</w:t>
      </w:r>
    </w:p>
    <w:p w14:paraId="5914644D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kopie dokumentów rejestrowych prowadzonej działalności</w:t>
      </w:r>
    </w:p>
    <w:p w14:paraId="7E58B915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</w:t>
      </w:r>
    </w:p>
    <w:p w14:paraId="2CC1560A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dokumenty finansowe za bieżący rok (sprawozdania finansowe: bilans, rachunek zysków i strat lub zestawienie książki przychodów i rozchodów )</w:t>
      </w:r>
    </w:p>
    <w:p w14:paraId="100E7768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ewidencja środków trwałych wraz z amortyzacją</w:t>
      </w:r>
    </w:p>
    <w:p w14:paraId="160785FC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39ABC6AD" w14:textId="62EDF59B" w:rsidR="007635D5" w:rsidRDefault="00F92387" w:rsidP="00F67512">
      <w:pPr>
        <w:ind w:left="397" w:right="397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III. </w:t>
      </w:r>
      <w:r w:rsidR="007635D5">
        <w:rPr>
          <w:rFonts w:ascii="Calibri" w:eastAsia="Times New Roman" w:hAnsi="Calibri" w:cs="Times New Roman"/>
          <w:b/>
          <w:u w:val="single"/>
          <w:lang w:eastAsia="pl-PL"/>
        </w:rPr>
        <w:t>PORĘCZENIE WEKSLOWE OSOBY PRAWNEJ</w:t>
      </w:r>
    </w:p>
    <w:p w14:paraId="0DF1A22F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dokumenty rejestrowe spółki </w:t>
      </w:r>
    </w:p>
    <w:p w14:paraId="09E7958E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 oraz sprawozdania finansowe</w:t>
      </w:r>
    </w:p>
    <w:p w14:paraId="49A74748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sprawozdania finansowe za bieżący rok- ostatni ukończony kwartał </w:t>
      </w:r>
    </w:p>
    <w:p w14:paraId="316677FD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zgoda na weryfikację Poręczyciela w bazach - </w:t>
      </w:r>
      <w:proofErr w:type="spellStart"/>
      <w:r>
        <w:rPr>
          <w:rFonts w:ascii="Calibri" w:eastAsia="Times New Roman" w:hAnsi="Calibri" w:cs="Times New Roman"/>
          <w:lang w:eastAsia="pl-PL"/>
        </w:rPr>
        <w:t>InfoMonitor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i KRD</w:t>
      </w:r>
    </w:p>
    <w:p w14:paraId="5E27EBD4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oświadczenie o terminowości spłaty zobowiązań publiczno-prawnych (ZUS,US)- oświadczenie o posiadanych zobowiązań finansowych (ich wysokość , termin spłaty) wraz z informacją                        o terminowości ich obsługi</w:t>
      </w:r>
    </w:p>
    <w:p w14:paraId="4FD736E9" w14:textId="06703D2C" w:rsidR="007635D5" w:rsidRDefault="007635D5" w:rsidP="007635D5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dokumentów tożsamości osób uprawionych do zeprezentowania spółki</w:t>
      </w:r>
    </w:p>
    <w:p w14:paraId="1AE7725D" w14:textId="3C1B2829" w:rsidR="003D3003" w:rsidRDefault="003D3003" w:rsidP="007635D5">
      <w:pPr>
        <w:ind w:left="397" w:right="397"/>
        <w:rPr>
          <w:rFonts w:ascii="Calibri" w:eastAsia="Times New Roman" w:hAnsi="Calibri" w:cs="Times New Roman"/>
          <w:lang w:eastAsia="pl-PL"/>
        </w:rPr>
      </w:pPr>
    </w:p>
    <w:p w14:paraId="5897EC3A" w14:textId="77777777" w:rsidR="003D3003" w:rsidRDefault="003D3003" w:rsidP="003D3003">
      <w:pPr>
        <w:ind w:left="397" w:right="397"/>
        <w:rPr>
          <w:rFonts w:ascii="Calibri" w:eastAsia="Times New Roman" w:hAnsi="Calibri" w:cs="Times New Roman"/>
          <w:b/>
          <w:lang w:eastAsia="pl-PL"/>
        </w:rPr>
      </w:pPr>
    </w:p>
    <w:p w14:paraId="574E4EB3" w14:textId="29A878C7" w:rsidR="003D3003" w:rsidRPr="004844AA" w:rsidRDefault="003D3003" w:rsidP="003D3003">
      <w:pPr>
        <w:pStyle w:val="Akapitzlist"/>
        <w:numPr>
          <w:ilvl w:val="0"/>
          <w:numId w:val="29"/>
        </w:numPr>
        <w:ind w:right="397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val="pl-PL" w:eastAsia="pl-PL"/>
        </w:rPr>
        <w:t xml:space="preserve">ZASTAW </w:t>
      </w:r>
      <w:r w:rsidR="00381AD4">
        <w:rPr>
          <w:rFonts w:ascii="Calibri" w:eastAsia="Times New Roman" w:hAnsi="Calibri" w:cs="Times New Roman"/>
          <w:b/>
          <w:u w:val="single"/>
          <w:lang w:val="pl-PL" w:eastAsia="pl-PL"/>
        </w:rPr>
        <w:t xml:space="preserve">REJESTROWY </w:t>
      </w:r>
      <w:r w:rsidR="00D46521">
        <w:rPr>
          <w:rFonts w:ascii="Calibri" w:eastAsia="Times New Roman" w:hAnsi="Calibri" w:cs="Times New Roman"/>
          <w:b/>
          <w:u w:val="single"/>
          <w:lang w:val="pl-PL" w:eastAsia="pl-PL"/>
        </w:rPr>
        <w:t xml:space="preserve">WRAZ Z PRZELEWEM WIERZYTELNOŚCI Z UMOWY UBEZPIECZENIA MAJĄTKOWEGO </w:t>
      </w:r>
      <w:r w:rsidR="00D46521" w:rsidRPr="00D46521">
        <w:rPr>
          <w:rFonts w:ascii="Calibri" w:eastAsia="Times New Roman" w:hAnsi="Calibri" w:cs="Times New Roman"/>
          <w:b/>
          <w:u w:val="single"/>
          <w:lang w:val="pl-PL" w:eastAsia="pl-PL"/>
        </w:rPr>
        <w:t xml:space="preserve"> </w:t>
      </w:r>
    </w:p>
    <w:p w14:paraId="137B3F1E" w14:textId="009DB2A6" w:rsidR="004844AA" w:rsidRDefault="004844AA" w:rsidP="006354F4">
      <w:pPr>
        <w:ind w:left="1080" w:right="397"/>
        <w:rPr>
          <w:rFonts w:ascii="Calibri" w:eastAsia="Times New Roman" w:hAnsi="Calibri" w:cs="Times New Roman"/>
          <w:bCs/>
          <w:lang w:eastAsia="pl-PL"/>
        </w:rPr>
      </w:pPr>
      <w:r w:rsidRPr="004844AA">
        <w:rPr>
          <w:rFonts w:ascii="Calibri" w:eastAsia="Times New Roman" w:hAnsi="Calibri" w:cs="Times New Roman"/>
          <w:b/>
          <w:lang w:eastAsia="pl-PL"/>
        </w:rPr>
        <w:t>Uwaga!</w:t>
      </w:r>
      <w:r w:rsidRPr="004844AA">
        <w:rPr>
          <w:rFonts w:ascii="Calibri" w:eastAsia="Times New Roman" w:hAnsi="Calibri" w:cs="Times New Roman"/>
          <w:bCs/>
          <w:lang w:eastAsia="pl-PL"/>
        </w:rPr>
        <w:t xml:space="preserve"> Weryfikując i akceptując zabezpieczenie w postaci </w:t>
      </w:r>
      <w:r w:rsidR="00AE01BA">
        <w:rPr>
          <w:rFonts w:ascii="Calibri" w:eastAsia="Times New Roman" w:hAnsi="Calibri" w:cs="Times New Roman"/>
          <w:bCs/>
          <w:lang w:eastAsia="pl-PL"/>
        </w:rPr>
        <w:t xml:space="preserve">zastawu rejestrowego </w:t>
      </w:r>
      <w:r w:rsidRPr="004844AA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AE01BA">
        <w:rPr>
          <w:rFonts w:ascii="Calibri" w:eastAsia="Times New Roman" w:hAnsi="Calibri" w:cs="Times New Roman"/>
          <w:bCs/>
          <w:lang w:eastAsia="pl-PL"/>
        </w:rPr>
        <w:t>na</w:t>
      </w:r>
      <w:r w:rsidR="006354F4">
        <w:rPr>
          <w:rFonts w:ascii="Calibri" w:eastAsia="Times New Roman" w:hAnsi="Calibri" w:cs="Times New Roman"/>
          <w:bCs/>
          <w:lang w:eastAsia="pl-PL"/>
        </w:rPr>
        <w:t xml:space="preserve">: </w:t>
      </w:r>
      <w:r w:rsidR="00AE01BA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3A0A4A47" w14:textId="7542C5F1" w:rsidR="0047545D" w:rsidRPr="0047545D" w:rsidRDefault="0047545D" w:rsidP="00621BA7">
      <w:pPr>
        <w:spacing w:after="0" w:line="240" w:lineRule="auto"/>
        <w:ind w:left="1077" w:right="397"/>
        <w:rPr>
          <w:rFonts w:ascii="Calibri" w:eastAsia="Times New Roman" w:hAnsi="Calibri" w:cs="Times New Roman"/>
          <w:bCs/>
          <w:lang w:eastAsia="pl-PL"/>
        </w:rPr>
      </w:pPr>
      <w:r w:rsidRPr="0047545D">
        <w:rPr>
          <w:rFonts w:ascii="Calibri" w:eastAsia="Times New Roman" w:hAnsi="Calibri" w:cs="Times New Roman"/>
          <w:bCs/>
          <w:lang w:eastAsia="pl-PL"/>
        </w:rPr>
        <w:lastRenderedPageBreak/>
        <w:t>1)</w:t>
      </w:r>
      <w:r w:rsidRPr="0047545D">
        <w:rPr>
          <w:rFonts w:ascii="Calibri" w:eastAsia="Times New Roman" w:hAnsi="Calibri" w:cs="Times New Roman"/>
          <w:bCs/>
          <w:lang w:eastAsia="pl-PL"/>
        </w:rPr>
        <w:tab/>
        <w:t>rzecz</w:t>
      </w:r>
      <w:r>
        <w:rPr>
          <w:rFonts w:ascii="Calibri" w:eastAsia="Times New Roman" w:hAnsi="Calibri" w:cs="Times New Roman"/>
          <w:bCs/>
          <w:lang w:eastAsia="pl-PL"/>
        </w:rPr>
        <w:t>ach</w:t>
      </w:r>
      <w:r w:rsidRPr="0047545D">
        <w:rPr>
          <w:rFonts w:ascii="Calibri" w:eastAsia="Times New Roman" w:hAnsi="Calibri" w:cs="Times New Roman"/>
          <w:bCs/>
          <w:lang w:eastAsia="pl-PL"/>
        </w:rPr>
        <w:t xml:space="preserve"> oznaczon</w:t>
      </w:r>
      <w:r>
        <w:rPr>
          <w:rFonts w:ascii="Calibri" w:eastAsia="Times New Roman" w:hAnsi="Calibri" w:cs="Times New Roman"/>
          <w:bCs/>
          <w:lang w:eastAsia="pl-PL"/>
        </w:rPr>
        <w:t>ych</w:t>
      </w:r>
      <w:r w:rsidRPr="0047545D">
        <w:rPr>
          <w:rFonts w:ascii="Calibri" w:eastAsia="Times New Roman" w:hAnsi="Calibri" w:cs="Times New Roman"/>
          <w:bCs/>
          <w:lang w:eastAsia="pl-PL"/>
        </w:rPr>
        <w:t xml:space="preserve"> co do tożsamości,</w:t>
      </w:r>
    </w:p>
    <w:p w14:paraId="37D0682D" w14:textId="55A721CB" w:rsidR="0047545D" w:rsidRPr="0047545D" w:rsidRDefault="0047545D" w:rsidP="00621BA7">
      <w:pPr>
        <w:spacing w:after="0" w:line="240" w:lineRule="auto"/>
        <w:ind w:left="1077" w:right="397"/>
        <w:rPr>
          <w:rFonts w:ascii="Calibri" w:eastAsia="Times New Roman" w:hAnsi="Calibri" w:cs="Times New Roman"/>
          <w:bCs/>
          <w:lang w:eastAsia="pl-PL"/>
        </w:rPr>
      </w:pPr>
      <w:r w:rsidRPr="0047545D">
        <w:rPr>
          <w:rFonts w:ascii="Calibri" w:eastAsia="Times New Roman" w:hAnsi="Calibri" w:cs="Times New Roman"/>
          <w:bCs/>
          <w:lang w:eastAsia="pl-PL"/>
        </w:rPr>
        <w:t>2)</w:t>
      </w:r>
      <w:r w:rsidRPr="0047545D">
        <w:rPr>
          <w:rFonts w:ascii="Calibri" w:eastAsia="Times New Roman" w:hAnsi="Calibri" w:cs="Times New Roman"/>
          <w:bCs/>
          <w:lang w:eastAsia="pl-PL"/>
        </w:rPr>
        <w:tab/>
        <w:t>wierzytelności</w:t>
      </w:r>
      <w:r>
        <w:rPr>
          <w:rFonts w:ascii="Calibri" w:eastAsia="Times New Roman" w:hAnsi="Calibri" w:cs="Times New Roman"/>
          <w:bCs/>
          <w:lang w:eastAsia="pl-PL"/>
        </w:rPr>
        <w:t>ach</w:t>
      </w:r>
      <w:r w:rsidRPr="0047545D">
        <w:rPr>
          <w:rFonts w:ascii="Calibri" w:eastAsia="Times New Roman" w:hAnsi="Calibri" w:cs="Times New Roman"/>
          <w:bCs/>
          <w:lang w:eastAsia="pl-PL"/>
        </w:rPr>
        <w:t xml:space="preserve"> pieniężn</w:t>
      </w:r>
      <w:r>
        <w:rPr>
          <w:rFonts w:ascii="Calibri" w:eastAsia="Times New Roman" w:hAnsi="Calibri" w:cs="Times New Roman"/>
          <w:bCs/>
          <w:lang w:eastAsia="pl-PL"/>
        </w:rPr>
        <w:t>ych</w:t>
      </w:r>
      <w:r w:rsidRPr="0047545D">
        <w:rPr>
          <w:rFonts w:ascii="Calibri" w:eastAsia="Times New Roman" w:hAnsi="Calibri" w:cs="Times New Roman"/>
          <w:bCs/>
          <w:lang w:eastAsia="pl-PL"/>
        </w:rPr>
        <w:t xml:space="preserve"> wyrażon</w:t>
      </w:r>
      <w:r>
        <w:rPr>
          <w:rFonts w:ascii="Calibri" w:eastAsia="Times New Roman" w:hAnsi="Calibri" w:cs="Times New Roman"/>
          <w:bCs/>
          <w:lang w:eastAsia="pl-PL"/>
        </w:rPr>
        <w:t>ych</w:t>
      </w:r>
      <w:r w:rsidRPr="0047545D">
        <w:rPr>
          <w:rFonts w:ascii="Calibri" w:eastAsia="Times New Roman" w:hAnsi="Calibri" w:cs="Times New Roman"/>
          <w:bCs/>
          <w:lang w:eastAsia="pl-PL"/>
        </w:rPr>
        <w:t xml:space="preserve"> w pieniądzu polskim lub walucie wymienialnej np. wierzytelności z rachunku bankowego, z akredytywy dokumentowej, z zastrzeżeniem, że FRW  z zachowaniem szczególnej ostrożności akceptuje zastaw rejestrowy na wierzytelności przyszłej lub warunkowej, </w:t>
      </w:r>
    </w:p>
    <w:p w14:paraId="64F26613" w14:textId="12966A15" w:rsidR="00864AA9" w:rsidRDefault="0047545D" w:rsidP="00621BA7">
      <w:pPr>
        <w:spacing w:after="0" w:line="240" w:lineRule="auto"/>
        <w:ind w:left="1077" w:right="397"/>
        <w:rPr>
          <w:rFonts w:ascii="Calibri" w:eastAsia="Times New Roman" w:hAnsi="Calibri" w:cs="Times New Roman"/>
          <w:bCs/>
          <w:lang w:eastAsia="pl-PL"/>
        </w:rPr>
      </w:pPr>
      <w:r w:rsidRPr="0047545D">
        <w:rPr>
          <w:rFonts w:ascii="Calibri" w:eastAsia="Times New Roman" w:hAnsi="Calibri" w:cs="Times New Roman"/>
          <w:bCs/>
          <w:lang w:eastAsia="pl-PL"/>
        </w:rPr>
        <w:t>3)</w:t>
      </w:r>
      <w:r w:rsidRPr="0047545D">
        <w:rPr>
          <w:rFonts w:ascii="Calibri" w:eastAsia="Times New Roman" w:hAnsi="Calibri" w:cs="Times New Roman"/>
          <w:bCs/>
          <w:lang w:eastAsia="pl-PL"/>
        </w:rPr>
        <w:tab/>
        <w:t>prawa</w:t>
      </w:r>
      <w:r>
        <w:rPr>
          <w:rFonts w:ascii="Calibri" w:eastAsia="Times New Roman" w:hAnsi="Calibri" w:cs="Times New Roman"/>
          <w:bCs/>
          <w:lang w:eastAsia="pl-PL"/>
        </w:rPr>
        <w:t>ch</w:t>
      </w:r>
      <w:r w:rsidRPr="0047545D">
        <w:rPr>
          <w:rFonts w:ascii="Calibri" w:eastAsia="Times New Roman" w:hAnsi="Calibri" w:cs="Times New Roman"/>
          <w:bCs/>
          <w:lang w:eastAsia="pl-PL"/>
        </w:rPr>
        <w:t xml:space="preserve"> z papierów wartościowych, (np. z akcji, obligacji, bonów skarbowych, dowodów składowych), z wyłączeniem akcji i obligacji niedopuszczonych do publicznego obrotu</w:t>
      </w:r>
    </w:p>
    <w:p w14:paraId="2F7060A7" w14:textId="77777777" w:rsidR="00621BA7" w:rsidRDefault="00621BA7" w:rsidP="00621BA7">
      <w:pPr>
        <w:spacing w:after="0" w:line="240" w:lineRule="auto"/>
        <w:ind w:left="1077" w:right="397"/>
        <w:rPr>
          <w:rFonts w:ascii="Calibri" w:eastAsia="Times New Roman" w:hAnsi="Calibri" w:cs="Times New Roman"/>
          <w:bCs/>
          <w:lang w:eastAsia="pl-PL"/>
        </w:rPr>
      </w:pPr>
    </w:p>
    <w:p w14:paraId="433358D0" w14:textId="48700209" w:rsidR="00621BA7" w:rsidRPr="00506F04" w:rsidRDefault="00621BA7" w:rsidP="00506F04">
      <w:pPr>
        <w:ind w:left="1019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bierze pod uwagę w szczególności ich obecną wartość, potencjalną utratę wartości w czasie oraz płynność (możliwość odsprzedaży). </w:t>
      </w:r>
      <w:r w:rsidR="005134B2" w:rsidRPr="005134B2">
        <w:rPr>
          <w:rFonts w:ascii="Calibri" w:eastAsia="Times New Roman" w:hAnsi="Calibri" w:cs="Times New Roman"/>
          <w:lang w:eastAsia="pl-PL"/>
        </w:rPr>
        <w:t>Przedmiotem zastawu rejestrowego mogą być rzeczy lub prawa, które zastawca nabędzie w przyszłości (istniejące lub nieistniejące w chwili ustanawiania zastawu) jednakże obciążenie tych rzeczy lub praw zastawem rejestrowym staje się skuteczne z chwilą ich nabycia przez zastawcę.</w:t>
      </w:r>
      <w:r w:rsidR="005134B2">
        <w:rPr>
          <w:rFonts w:ascii="Calibri" w:eastAsia="Times New Roman" w:hAnsi="Calibri" w:cs="Times New Roman"/>
          <w:lang w:eastAsia="pl-PL"/>
        </w:rPr>
        <w:t xml:space="preserve"> </w:t>
      </w:r>
      <w:r w:rsidR="005134B2" w:rsidRPr="005134B2">
        <w:rPr>
          <w:rFonts w:ascii="Calibri" w:eastAsia="Times New Roman" w:hAnsi="Calibri" w:cs="Times New Roman"/>
          <w:lang w:eastAsia="pl-PL"/>
        </w:rPr>
        <w:t>Przedmiotem zastawu rejestrowego są rzeczy przyszłe w przypadku, gdy do chwili wpisania zastawu rejestrowego do rejestru zastawów ustanawiane jest na rzecz FRW przewłaszczenie rzeczy, które mają być przedmiotem tego zastawu.</w:t>
      </w:r>
      <w:r w:rsidR="005134B2">
        <w:rPr>
          <w:rFonts w:ascii="Calibri" w:eastAsia="Times New Roman" w:hAnsi="Calibri" w:cs="Times New Roman"/>
          <w:lang w:eastAsia="pl-PL"/>
        </w:rPr>
        <w:t xml:space="preserve"> </w:t>
      </w:r>
      <w:r w:rsidR="008E55CF" w:rsidRPr="008E55CF">
        <w:rPr>
          <w:rFonts w:ascii="Calibri" w:eastAsia="Times New Roman" w:hAnsi="Calibri" w:cs="Times New Roman"/>
          <w:lang w:eastAsia="pl-PL"/>
        </w:rPr>
        <w:t xml:space="preserve">W przypadku, gdy docelowym zabezpieczeniem ma być zastaw rejestrowy, FRW akceptuje przewłaszczenie jako zabezpieczenie przejściowe, ustanowione pod warunkiem rozwiązującym w postaci wpisania zastawu rejestrowego na przedmiocie przewłaszczenia do rejestru zastawów. </w:t>
      </w:r>
    </w:p>
    <w:p w14:paraId="26239D95" w14:textId="77777777" w:rsidR="00371E3F" w:rsidRPr="00371E3F" w:rsidRDefault="00371E3F" w:rsidP="005A0AF7">
      <w:pPr>
        <w:spacing w:after="0" w:line="240" w:lineRule="auto"/>
        <w:ind w:left="1077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71E3F">
        <w:rPr>
          <w:rFonts w:ascii="Calibri" w:eastAsia="Times New Roman" w:hAnsi="Calibri" w:cs="Times New Roman"/>
          <w:b/>
          <w:u w:val="single"/>
          <w:lang w:eastAsia="pl-PL"/>
        </w:rPr>
        <w:t xml:space="preserve">Warunkiem przyjęcia przez FRW zabezpieczenia w postaci zastawu rejestrowego na rzeczach ruchomych </w:t>
      </w:r>
    </w:p>
    <w:p w14:paraId="16E46500" w14:textId="49A76922" w:rsidR="00371E3F" w:rsidRPr="005A0AF7" w:rsidRDefault="00371E3F" w:rsidP="005A0AF7">
      <w:pPr>
        <w:spacing w:after="0" w:line="240" w:lineRule="auto"/>
        <w:ind w:left="1077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71E3F">
        <w:rPr>
          <w:rFonts w:ascii="Calibri" w:eastAsia="Times New Roman" w:hAnsi="Calibri" w:cs="Times New Roman"/>
          <w:b/>
          <w:u w:val="single"/>
          <w:lang w:eastAsia="pl-PL"/>
        </w:rPr>
        <w:t xml:space="preserve">jest przelew na rzecz FRW wierzytelności z umowy ubezpieczenia majątkowego przedmiotu zastawu. </w:t>
      </w:r>
    </w:p>
    <w:p w14:paraId="24DA268D" w14:textId="48D32E97" w:rsidR="005A0AF7" w:rsidRPr="00685100" w:rsidRDefault="005A0AF7" w:rsidP="00685100">
      <w:pPr>
        <w:ind w:left="1080" w:right="397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5A0AF7">
        <w:rPr>
          <w:rFonts w:ascii="Calibri" w:eastAsia="Times New Roman" w:hAnsi="Calibri" w:cs="Times New Roman"/>
          <w:b/>
          <w:u w:val="single"/>
          <w:lang w:eastAsia="pl-PL"/>
        </w:rPr>
        <w:t>W razie ustanowienia zastawu rejestrowego na pojeździe mechanicznym podlegającym rejestracji, zastaw ten zosta</w:t>
      </w:r>
      <w:r w:rsidR="00685100">
        <w:rPr>
          <w:rFonts w:ascii="Calibri" w:eastAsia="Times New Roman" w:hAnsi="Calibri" w:cs="Times New Roman"/>
          <w:b/>
          <w:u w:val="single"/>
          <w:lang w:eastAsia="pl-PL"/>
        </w:rPr>
        <w:t>nie</w:t>
      </w:r>
      <w:r w:rsidRPr="005A0AF7">
        <w:rPr>
          <w:rFonts w:ascii="Calibri" w:eastAsia="Times New Roman" w:hAnsi="Calibri" w:cs="Times New Roman"/>
          <w:b/>
          <w:u w:val="single"/>
          <w:lang w:eastAsia="pl-PL"/>
        </w:rPr>
        <w:t xml:space="preserve"> również odnotowany w dowodzie rejestracyjnym pojazdu</w:t>
      </w:r>
    </w:p>
    <w:p w14:paraId="475B9D91" w14:textId="68AF2647" w:rsidR="004844AA" w:rsidRDefault="004844AA" w:rsidP="004844AA">
      <w:pPr>
        <w:ind w:left="1080" w:right="397"/>
        <w:rPr>
          <w:rFonts w:ascii="Calibri" w:eastAsia="Times New Roman" w:hAnsi="Calibri" w:cs="Times New Roman"/>
          <w:b/>
          <w:lang w:eastAsia="pl-PL"/>
        </w:rPr>
      </w:pPr>
      <w:r w:rsidRPr="00AE01BA">
        <w:rPr>
          <w:rFonts w:ascii="Calibri" w:eastAsia="Times New Roman" w:hAnsi="Calibri" w:cs="Times New Roman"/>
          <w:b/>
          <w:lang w:eastAsia="pl-PL"/>
        </w:rPr>
        <w:t>Dokument</w:t>
      </w:r>
      <w:r w:rsidR="00AE01BA">
        <w:rPr>
          <w:rFonts w:ascii="Calibri" w:eastAsia="Times New Roman" w:hAnsi="Calibri" w:cs="Times New Roman"/>
          <w:b/>
          <w:lang w:eastAsia="pl-PL"/>
        </w:rPr>
        <w:t>y</w:t>
      </w:r>
      <w:r w:rsidRPr="00AE01BA">
        <w:rPr>
          <w:rFonts w:ascii="Calibri" w:eastAsia="Times New Roman" w:hAnsi="Calibri" w:cs="Times New Roman"/>
          <w:b/>
          <w:lang w:eastAsia="pl-PL"/>
        </w:rPr>
        <w:t xml:space="preserve">: </w:t>
      </w:r>
    </w:p>
    <w:p w14:paraId="7822160D" w14:textId="00630FC9" w:rsidR="00173956" w:rsidRDefault="00C15FFE" w:rsidP="00F42776">
      <w:pPr>
        <w:ind w:left="1080" w:right="39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>polis</w:t>
      </w:r>
      <w:r>
        <w:rPr>
          <w:rFonts w:ascii="Calibri" w:eastAsia="Times New Roman" w:hAnsi="Calibri" w:cs="Times New Roman"/>
          <w:bCs/>
          <w:lang w:eastAsia="pl-PL"/>
        </w:rPr>
        <w:t>a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 xml:space="preserve"> ubezpieczeniow</w:t>
      </w:r>
      <w:r>
        <w:rPr>
          <w:rFonts w:ascii="Calibri" w:eastAsia="Times New Roman" w:hAnsi="Calibri" w:cs="Times New Roman"/>
          <w:bCs/>
          <w:lang w:eastAsia="pl-PL"/>
        </w:rPr>
        <w:t>a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 xml:space="preserve"> wystawion</w:t>
      </w:r>
      <w:r>
        <w:rPr>
          <w:rFonts w:ascii="Calibri" w:eastAsia="Times New Roman" w:hAnsi="Calibri" w:cs="Times New Roman"/>
          <w:bCs/>
          <w:lang w:eastAsia="pl-PL"/>
        </w:rPr>
        <w:t>a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 xml:space="preserve"> przez ubezpieczyciela– w przypadku rzeczy ruchomych, dla których wymagane jest ubezpieczenia majątkowe</w:t>
      </w:r>
      <w:r w:rsidR="00B124B7">
        <w:rPr>
          <w:rFonts w:ascii="Calibri" w:eastAsia="Times New Roman" w:hAnsi="Calibri" w:cs="Times New Roman"/>
          <w:bCs/>
          <w:lang w:eastAsia="pl-PL"/>
        </w:rPr>
        <w:t>, lub</w:t>
      </w:r>
    </w:p>
    <w:p w14:paraId="0B53723C" w14:textId="1C42D7B9" w:rsidR="00B873F8" w:rsidRDefault="00173956" w:rsidP="00F42776">
      <w:pPr>
        <w:ind w:left="1080" w:right="39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>faktur</w:t>
      </w:r>
      <w:r>
        <w:rPr>
          <w:rFonts w:ascii="Calibri" w:eastAsia="Times New Roman" w:hAnsi="Calibri" w:cs="Times New Roman"/>
          <w:bCs/>
          <w:lang w:eastAsia="pl-PL"/>
        </w:rPr>
        <w:t>y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>, um</w:t>
      </w:r>
      <w:r>
        <w:rPr>
          <w:rFonts w:ascii="Calibri" w:eastAsia="Times New Roman" w:hAnsi="Calibri" w:cs="Times New Roman"/>
          <w:bCs/>
          <w:lang w:eastAsia="pl-PL"/>
        </w:rPr>
        <w:t>o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>w</w:t>
      </w:r>
      <w:r>
        <w:rPr>
          <w:rFonts w:ascii="Calibri" w:eastAsia="Times New Roman" w:hAnsi="Calibri" w:cs="Times New Roman"/>
          <w:bCs/>
          <w:lang w:eastAsia="pl-PL"/>
        </w:rPr>
        <w:t>y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 xml:space="preserve"> handlow</w:t>
      </w:r>
      <w:r>
        <w:rPr>
          <w:rFonts w:ascii="Calibri" w:eastAsia="Times New Roman" w:hAnsi="Calibri" w:cs="Times New Roman"/>
          <w:bCs/>
          <w:lang w:eastAsia="pl-PL"/>
        </w:rPr>
        <w:t>e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 xml:space="preserve"> realizowan</w:t>
      </w:r>
      <w:r>
        <w:rPr>
          <w:rFonts w:ascii="Calibri" w:eastAsia="Times New Roman" w:hAnsi="Calibri" w:cs="Times New Roman"/>
          <w:bCs/>
          <w:lang w:eastAsia="pl-PL"/>
        </w:rPr>
        <w:t>e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 xml:space="preserve"> w ramach prowadzonej przez </w:t>
      </w:r>
      <w:r w:rsidR="00B873F8">
        <w:rPr>
          <w:rFonts w:ascii="Calibri" w:eastAsia="Times New Roman" w:hAnsi="Calibri" w:cs="Times New Roman"/>
          <w:bCs/>
          <w:lang w:eastAsia="pl-PL"/>
        </w:rPr>
        <w:t>Wnioskodawcę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 xml:space="preserve"> z tytułu zabezpieczenia działalności gospodarczej, wystawion</w:t>
      </w:r>
      <w:r w:rsidR="00E156AD">
        <w:rPr>
          <w:rFonts w:ascii="Calibri" w:eastAsia="Times New Roman" w:hAnsi="Calibri" w:cs="Times New Roman"/>
          <w:bCs/>
          <w:lang w:eastAsia="pl-PL"/>
        </w:rPr>
        <w:t>e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>/zawart</w:t>
      </w:r>
      <w:r w:rsidR="00E156AD">
        <w:rPr>
          <w:rFonts w:ascii="Calibri" w:eastAsia="Times New Roman" w:hAnsi="Calibri" w:cs="Times New Roman"/>
          <w:bCs/>
          <w:lang w:eastAsia="pl-PL"/>
        </w:rPr>
        <w:t>e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 xml:space="preserve"> nie wcześniej niż 12 miesięcy przed złożeniem wniosku pożyczkowego, </w:t>
      </w:r>
      <w:r w:rsidR="00B124B7">
        <w:rPr>
          <w:rFonts w:ascii="Calibri" w:eastAsia="Times New Roman" w:hAnsi="Calibri" w:cs="Times New Roman"/>
          <w:bCs/>
          <w:lang w:eastAsia="pl-PL"/>
        </w:rPr>
        <w:t>lub</w:t>
      </w:r>
    </w:p>
    <w:p w14:paraId="225C6050" w14:textId="4D36CC6A" w:rsidR="00685100" w:rsidRPr="00B873F8" w:rsidRDefault="00B873F8" w:rsidP="00F42776">
      <w:pPr>
        <w:ind w:left="1080" w:right="39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>pisemn</w:t>
      </w:r>
      <w:r>
        <w:rPr>
          <w:rFonts w:ascii="Calibri" w:eastAsia="Times New Roman" w:hAnsi="Calibri" w:cs="Times New Roman"/>
          <w:bCs/>
          <w:lang w:eastAsia="pl-PL"/>
        </w:rPr>
        <w:t>e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 xml:space="preserve"> um</w:t>
      </w:r>
      <w:r>
        <w:rPr>
          <w:rFonts w:ascii="Calibri" w:eastAsia="Times New Roman" w:hAnsi="Calibri" w:cs="Times New Roman"/>
          <w:bCs/>
          <w:lang w:eastAsia="pl-PL"/>
        </w:rPr>
        <w:t>o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>w</w:t>
      </w:r>
      <w:r>
        <w:rPr>
          <w:rFonts w:ascii="Calibri" w:eastAsia="Times New Roman" w:hAnsi="Calibri" w:cs="Times New Roman"/>
          <w:bCs/>
          <w:lang w:eastAsia="pl-PL"/>
        </w:rPr>
        <w:t>y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 xml:space="preserve"> przenosząc</w:t>
      </w:r>
      <w:r>
        <w:rPr>
          <w:rFonts w:ascii="Calibri" w:eastAsia="Times New Roman" w:hAnsi="Calibri" w:cs="Times New Roman"/>
          <w:bCs/>
          <w:lang w:eastAsia="pl-PL"/>
        </w:rPr>
        <w:t>e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 xml:space="preserve"> prawo własności, np. sprzedaży, zamiany, darowizny, zawart</w:t>
      </w:r>
      <w:r>
        <w:rPr>
          <w:rFonts w:ascii="Calibri" w:eastAsia="Times New Roman" w:hAnsi="Calibri" w:cs="Times New Roman"/>
          <w:bCs/>
          <w:lang w:eastAsia="pl-PL"/>
        </w:rPr>
        <w:t>e</w:t>
      </w:r>
      <w:r w:rsidR="00685100" w:rsidRPr="008C7613">
        <w:rPr>
          <w:rFonts w:ascii="Calibri" w:eastAsia="Times New Roman" w:hAnsi="Calibri" w:cs="Times New Roman"/>
          <w:bCs/>
          <w:lang w:eastAsia="pl-PL"/>
        </w:rPr>
        <w:t xml:space="preserve"> nie wcześniej niż 12 miesięcy przed złożeniem wniosku pożyczkowego, </w:t>
      </w:r>
      <w:r w:rsidR="00B124B7">
        <w:rPr>
          <w:rFonts w:ascii="Calibri" w:eastAsia="Times New Roman" w:hAnsi="Calibri" w:cs="Times New Roman"/>
          <w:bCs/>
          <w:lang w:eastAsia="pl-PL"/>
        </w:rPr>
        <w:t xml:space="preserve">lub </w:t>
      </w:r>
    </w:p>
    <w:p w14:paraId="20B89008" w14:textId="52F6E41B" w:rsidR="004844AA" w:rsidRPr="004844AA" w:rsidRDefault="004844AA" w:rsidP="00F42776">
      <w:pPr>
        <w:ind w:left="1080" w:right="397"/>
        <w:jc w:val="both"/>
        <w:rPr>
          <w:rFonts w:ascii="Calibri" w:eastAsia="Times New Roman" w:hAnsi="Calibri" w:cs="Times New Roman"/>
          <w:bCs/>
          <w:lang w:eastAsia="pl-PL"/>
        </w:rPr>
      </w:pPr>
      <w:r w:rsidRPr="004844AA">
        <w:rPr>
          <w:rFonts w:ascii="Calibri" w:eastAsia="Times New Roman" w:hAnsi="Calibri" w:cs="Times New Roman"/>
          <w:bCs/>
          <w:lang w:eastAsia="pl-PL"/>
        </w:rPr>
        <w:t xml:space="preserve">- oferta kupna/sprzedaży środków trwałych (faktura pro forma/ oferta handlowa) w przypadku </w:t>
      </w:r>
      <w:r w:rsidR="00D9405A">
        <w:rPr>
          <w:rFonts w:ascii="Calibri" w:eastAsia="Times New Roman" w:hAnsi="Calibri" w:cs="Times New Roman"/>
          <w:bCs/>
          <w:lang w:eastAsia="pl-PL"/>
        </w:rPr>
        <w:t>zastawu rejestrowego na</w:t>
      </w:r>
      <w:r w:rsidRPr="004844AA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D9405A">
        <w:rPr>
          <w:rFonts w:ascii="Calibri" w:eastAsia="Times New Roman" w:hAnsi="Calibri" w:cs="Times New Roman"/>
          <w:bCs/>
          <w:lang w:eastAsia="pl-PL"/>
        </w:rPr>
        <w:t>przewidzianych do za</w:t>
      </w:r>
      <w:r w:rsidRPr="004844AA">
        <w:rPr>
          <w:rFonts w:ascii="Calibri" w:eastAsia="Times New Roman" w:hAnsi="Calibri" w:cs="Times New Roman"/>
          <w:bCs/>
          <w:lang w:eastAsia="pl-PL"/>
        </w:rPr>
        <w:t>kup</w:t>
      </w:r>
      <w:r w:rsidR="00D9405A">
        <w:rPr>
          <w:rFonts w:ascii="Calibri" w:eastAsia="Times New Roman" w:hAnsi="Calibri" w:cs="Times New Roman"/>
          <w:bCs/>
          <w:lang w:eastAsia="pl-PL"/>
        </w:rPr>
        <w:t>u</w:t>
      </w:r>
      <w:r w:rsidRPr="004844AA">
        <w:rPr>
          <w:rFonts w:ascii="Calibri" w:eastAsia="Times New Roman" w:hAnsi="Calibri" w:cs="Times New Roman"/>
          <w:bCs/>
          <w:lang w:eastAsia="pl-PL"/>
        </w:rPr>
        <w:t xml:space="preserve"> środków trwałych</w:t>
      </w:r>
      <w:r w:rsidR="00B124B7">
        <w:rPr>
          <w:rFonts w:ascii="Calibri" w:eastAsia="Times New Roman" w:hAnsi="Calibri" w:cs="Times New Roman"/>
          <w:bCs/>
          <w:lang w:eastAsia="pl-PL"/>
        </w:rPr>
        <w:t>, lub</w:t>
      </w:r>
    </w:p>
    <w:p w14:paraId="637A39E7" w14:textId="39FD3A93" w:rsidR="004844AA" w:rsidRPr="004844AA" w:rsidRDefault="004844AA" w:rsidP="00F42776">
      <w:pPr>
        <w:ind w:left="1080" w:right="397"/>
        <w:jc w:val="both"/>
        <w:rPr>
          <w:rFonts w:ascii="Calibri" w:eastAsia="Times New Roman" w:hAnsi="Calibri" w:cs="Times New Roman"/>
          <w:bCs/>
          <w:lang w:eastAsia="pl-PL"/>
        </w:rPr>
      </w:pPr>
      <w:r w:rsidRPr="004844AA">
        <w:rPr>
          <w:rFonts w:ascii="Calibri" w:eastAsia="Times New Roman" w:hAnsi="Calibri" w:cs="Times New Roman"/>
          <w:bCs/>
          <w:lang w:eastAsia="pl-PL"/>
        </w:rPr>
        <w:t xml:space="preserve">- </w:t>
      </w:r>
      <w:r w:rsidR="00F42776" w:rsidRPr="00F42776">
        <w:rPr>
          <w:rFonts w:ascii="Calibri" w:eastAsia="Times New Roman" w:hAnsi="Calibri" w:cs="Times New Roman"/>
          <w:bCs/>
          <w:lang w:eastAsia="pl-PL"/>
        </w:rPr>
        <w:t>ewidencja środków trwałych</w:t>
      </w:r>
      <w:r w:rsidR="00F42776">
        <w:rPr>
          <w:rFonts w:ascii="Calibri" w:eastAsia="Times New Roman" w:hAnsi="Calibri" w:cs="Times New Roman"/>
          <w:bCs/>
          <w:lang w:eastAsia="pl-PL"/>
        </w:rPr>
        <w:t xml:space="preserve"> i </w:t>
      </w:r>
      <w:r w:rsidRPr="004844AA">
        <w:rPr>
          <w:rFonts w:ascii="Calibri" w:eastAsia="Times New Roman" w:hAnsi="Calibri" w:cs="Times New Roman"/>
          <w:bCs/>
          <w:lang w:eastAsia="pl-PL"/>
        </w:rPr>
        <w:t xml:space="preserve">dokumenty potwierdzające nabycie środków trwałych (faktury/rachunki) w przypadku </w:t>
      </w:r>
      <w:r w:rsidR="00D9405A">
        <w:rPr>
          <w:rFonts w:ascii="Calibri" w:eastAsia="Times New Roman" w:hAnsi="Calibri" w:cs="Times New Roman"/>
          <w:bCs/>
          <w:lang w:eastAsia="pl-PL"/>
        </w:rPr>
        <w:t xml:space="preserve">zastawu rejestrowego ustanawianego na </w:t>
      </w:r>
      <w:r w:rsidRPr="004844AA">
        <w:rPr>
          <w:rFonts w:ascii="Calibri" w:eastAsia="Times New Roman" w:hAnsi="Calibri" w:cs="Times New Roman"/>
          <w:bCs/>
          <w:lang w:eastAsia="pl-PL"/>
        </w:rPr>
        <w:t>już posiadanych środk</w:t>
      </w:r>
      <w:r w:rsidR="003104DD">
        <w:rPr>
          <w:rFonts w:ascii="Calibri" w:eastAsia="Times New Roman" w:hAnsi="Calibri" w:cs="Times New Roman"/>
          <w:bCs/>
          <w:lang w:eastAsia="pl-PL"/>
        </w:rPr>
        <w:t>ach</w:t>
      </w:r>
      <w:r w:rsidRPr="004844AA">
        <w:rPr>
          <w:rFonts w:ascii="Calibri" w:eastAsia="Times New Roman" w:hAnsi="Calibri" w:cs="Times New Roman"/>
          <w:bCs/>
          <w:lang w:eastAsia="pl-PL"/>
        </w:rPr>
        <w:t xml:space="preserve"> trwałych</w:t>
      </w:r>
      <w:r w:rsidR="00B124B7">
        <w:rPr>
          <w:rFonts w:ascii="Calibri" w:eastAsia="Times New Roman" w:hAnsi="Calibri" w:cs="Times New Roman"/>
          <w:bCs/>
          <w:lang w:eastAsia="pl-PL"/>
        </w:rPr>
        <w:t xml:space="preserve">, </w:t>
      </w:r>
    </w:p>
    <w:p w14:paraId="26079FB1" w14:textId="73BC739C" w:rsidR="009A611B" w:rsidRDefault="004844AA" w:rsidP="00F42776">
      <w:pPr>
        <w:ind w:left="1080" w:right="397"/>
        <w:jc w:val="both"/>
        <w:rPr>
          <w:rFonts w:ascii="Calibri" w:eastAsia="Times New Roman" w:hAnsi="Calibri" w:cs="Times New Roman"/>
          <w:bCs/>
          <w:lang w:eastAsia="pl-PL"/>
        </w:rPr>
      </w:pPr>
      <w:r w:rsidRPr="004844AA">
        <w:rPr>
          <w:rFonts w:ascii="Calibri" w:eastAsia="Times New Roman" w:hAnsi="Calibri" w:cs="Times New Roman"/>
          <w:bCs/>
          <w:lang w:eastAsia="pl-PL"/>
        </w:rPr>
        <w:t>- kopia dowodu rejestracyjnego w przypadku</w:t>
      </w:r>
      <w:r w:rsidR="003104DD">
        <w:rPr>
          <w:rFonts w:ascii="Calibri" w:eastAsia="Times New Roman" w:hAnsi="Calibri" w:cs="Times New Roman"/>
          <w:bCs/>
          <w:lang w:eastAsia="pl-PL"/>
        </w:rPr>
        <w:t xml:space="preserve"> zastawu rejestrowego na </w:t>
      </w:r>
      <w:r w:rsidRPr="004844AA">
        <w:rPr>
          <w:rFonts w:ascii="Calibri" w:eastAsia="Times New Roman" w:hAnsi="Calibri" w:cs="Times New Roman"/>
          <w:bCs/>
          <w:lang w:eastAsia="pl-PL"/>
        </w:rPr>
        <w:t xml:space="preserve"> poj</w:t>
      </w:r>
      <w:r w:rsidR="003104DD">
        <w:rPr>
          <w:rFonts w:ascii="Calibri" w:eastAsia="Times New Roman" w:hAnsi="Calibri" w:cs="Times New Roman"/>
          <w:bCs/>
          <w:lang w:eastAsia="pl-PL"/>
        </w:rPr>
        <w:t>eździe</w:t>
      </w:r>
      <w:r w:rsidRPr="004844AA">
        <w:rPr>
          <w:rFonts w:ascii="Calibri" w:eastAsia="Times New Roman" w:hAnsi="Calibri" w:cs="Times New Roman"/>
          <w:bCs/>
          <w:lang w:eastAsia="pl-PL"/>
        </w:rPr>
        <w:t xml:space="preserve"> podlegając</w:t>
      </w:r>
      <w:r w:rsidR="003104DD">
        <w:rPr>
          <w:rFonts w:ascii="Calibri" w:eastAsia="Times New Roman" w:hAnsi="Calibri" w:cs="Times New Roman"/>
          <w:bCs/>
          <w:lang w:eastAsia="pl-PL"/>
        </w:rPr>
        <w:t xml:space="preserve">ym </w:t>
      </w:r>
      <w:r w:rsidRPr="004844AA">
        <w:rPr>
          <w:rFonts w:ascii="Calibri" w:eastAsia="Times New Roman" w:hAnsi="Calibri" w:cs="Times New Roman"/>
          <w:bCs/>
          <w:lang w:eastAsia="pl-PL"/>
        </w:rPr>
        <w:t>rejestracji w Wydziale Komunikacji</w:t>
      </w:r>
      <w:r w:rsidR="009A611B">
        <w:rPr>
          <w:rFonts w:ascii="Calibri" w:eastAsia="Times New Roman" w:hAnsi="Calibri" w:cs="Times New Roman"/>
          <w:bCs/>
          <w:lang w:eastAsia="pl-PL"/>
        </w:rPr>
        <w:t xml:space="preserve">; </w:t>
      </w:r>
    </w:p>
    <w:p w14:paraId="3E86A06F" w14:textId="71FE4E05" w:rsidR="009A611B" w:rsidRPr="009A611B" w:rsidRDefault="009A611B" w:rsidP="00F42776">
      <w:pPr>
        <w:ind w:left="1080" w:right="39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</w:t>
      </w:r>
      <w:r w:rsidRPr="009A611B">
        <w:rPr>
          <w:rFonts w:ascii="Calibri" w:eastAsia="Times New Roman" w:hAnsi="Calibri" w:cs="Times New Roman"/>
          <w:bCs/>
          <w:lang w:eastAsia="pl-PL"/>
        </w:rPr>
        <w:t>zaświadczeni</w:t>
      </w:r>
      <w:r>
        <w:rPr>
          <w:rFonts w:ascii="Calibri" w:eastAsia="Times New Roman" w:hAnsi="Calibri" w:cs="Times New Roman"/>
          <w:bCs/>
          <w:lang w:eastAsia="pl-PL"/>
        </w:rPr>
        <w:t>a</w:t>
      </w:r>
      <w:r w:rsidRPr="009A611B">
        <w:rPr>
          <w:rFonts w:ascii="Calibri" w:eastAsia="Times New Roman" w:hAnsi="Calibri" w:cs="Times New Roman"/>
          <w:bCs/>
          <w:lang w:eastAsia="pl-PL"/>
        </w:rPr>
        <w:t>, potwierdzające, że przedmiot zastawu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9A611B">
        <w:rPr>
          <w:rFonts w:ascii="Calibri" w:eastAsia="Times New Roman" w:hAnsi="Calibri" w:cs="Times New Roman"/>
          <w:bCs/>
          <w:lang w:eastAsia="pl-PL"/>
        </w:rPr>
        <w:t>nie został obciążony zastawem rejestrowym i zastawem skarbowym</w:t>
      </w:r>
      <w:r w:rsidR="002E7127">
        <w:rPr>
          <w:rFonts w:ascii="Calibri" w:eastAsia="Times New Roman" w:hAnsi="Calibri" w:cs="Times New Roman"/>
          <w:bCs/>
          <w:lang w:eastAsia="pl-PL"/>
        </w:rPr>
        <w:t xml:space="preserve"> oraz, że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9A611B">
        <w:rPr>
          <w:rFonts w:ascii="Calibri" w:eastAsia="Times New Roman" w:hAnsi="Calibri" w:cs="Times New Roman"/>
          <w:bCs/>
          <w:lang w:eastAsia="pl-PL"/>
        </w:rPr>
        <w:t xml:space="preserve">nie toczy się postępowanie o jego wpis do rejestru zastawów. </w:t>
      </w:r>
    </w:p>
    <w:p w14:paraId="452E96EC" w14:textId="77777777" w:rsidR="004E3975" w:rsidRPr="004E3975" w:rsidRDefault="009A611B" w:rsidP="004E3975">
      <w:pPr>
        <w:spacing w:after="0" w:line="240" w:lineRule="auto"/>
        <w:ind w:left="1080" w:right="397"/>
        <w:rPr>
          <w:rFonts w:ascii="Calibri" w:eastAsia="Times New Roman" w:hAnsi="Calibri" w:cs="Times New Roman"/>
          <w:b/>
          <w:u w:val="single"/>
          <w:lang w:eastAsia="pl-PL"/>
        </w:rPr>
      </w:pPr>
      <w:r w:rsidRPr="009A611B">
        <w:rPr>
          <w:rFonts w:ascii="Calibri" w:eastAsia="Times New Roman" w:hAnsi="Calibri" w:cs="Times New Roman"/>
          <w:b/>
          <w:u w:val="single"/>
          <w:lang w:eastAsia="pl-PL"/>
        </w:rPr>
        <w:lastRenderedPageBreak/>
        <w:t>Nie wymaga się przedłożenia:</w:t>
      </w:r>
    </w:p>
    <w:p w14:paraId="5C5F328F" w14:textId="77777777" w:rsidR="004E3975" w:rsidRPr="004E3975" w:rsidRDefault="009A611B" w:rsidP="004E3975">
      <w:pPr>
        <w:pStyle w:val="Akapitzlist"/>
        <w:numPr>
          <w:ilvl w:val="0"/>
          <w:numId w:val="33"/>
        </w:numPr>
        <w:spacing w:after="0" w:line="240" w:lineRule="auto"/>
        <w:ind w:right="397"/>
        <w:rPr>
          <w:rFonts w:ascii="Calibri" w:eastAsia="Times New Roman" w:hAnsi="Calibri" w:cs="Times New Roman"/>
          <w:b/>
          <w:u w:val="single"/>
          <w:lang w:eastAsia="pl-PL"/>
        </w:rPr>
      </w:pPr>
      <w:r w:rsidRPr="004E3975">
        <w:rPr>
          <w:rFonts w:ascii="Calibri" w:eastAsia="Times New Roman" w:hAnsi="Calibri" w:cs="Times New Roman"/>
          <w:b/>
          <w:u w:val="single"/>
          <w:lang w:eastAsia="pl-PL"/>
        </w:rPr>
        <w:t>zaświadczenia z Centralnej Informacji o Zastawach Rejestrowych – w przypadku, gdy przedmiotem zastawu ma/mają być rzecz/y ruchoma/e nabywana/e na rynku pierwotnym</w:t>
      </w:r>
      <w:r w:rsidR="004E3975" w:rsidRPr="004E3975">
        <w:rPr>
          <w:rFonts w:ascii="Calibri" w:eastAsia="Times New Roman" w:hAnsi="Calibri" w:cs="Times New Roman"/>
          <w:b/>
          <w:u w:val="single"/>
          <w:lang w:val="pl-PL" w:eastAsia="pl-PL"/>
        </w:rPr>
        <w:t>,</w:t>
      </w:r>
    </w:p>
    <w:p w14:paraId="0DE395BF" w14:textId="4B238771" w:rsidR="009A611B" w:rsidRPr="004E3975" w:rsidRDefault="002E7127" w:rsidP="004E3975">
      <w:pPr>
        <w:pStyle w:val="Akapitzlist"/>
        <w:numPr>
          <w:ilvl w:val="0"/>
          <w:numId w:val="33"/>
        </w:numPr>
        <w:spacing w:after="0" w:line="240" w:lineRule="auto"/>
        <w:ind w:right="397"/>
        <w:rPr>
          <w:rFonts w:ascii="Calibri" w:eastAsia="Times New Roman" w:hAnsi="Calibri" w:cs="Times New Roman"/>
          <w:b/>
          <w:u w:val="single"/>
          <w:lang w:eastAsia="pl-PL"/>
        </w:rPr>
      </w:pPr>
      <w:r w:rsidRPr="004E3975">
        <w:rPr>
          <w:rFonts w:ascii="Calibri" w:eastAsia="Times New Roman" w:hAnsi="Calibri" w:cs="Times New Roman"/>
          <w:b/>
          <w:u w:val="single"/>
          <w:lang w:eastAsia="pl-PL"/>
        </w:rPr>
        <w:t xml:space="preserve"> </w:t>
      </w:r>
      <w:r w:rsidR="009A611B" w:rsidRPr="004E3975">
        <w:rPr>
          <w:rFonts w:ascii="Calibri" w:eastAsia="Times New Roman" w:hAnsi="Calibri" w:cs="Times New Roman"/>
          <w:b/>
          <w:u w:val="single"/>
          <w:lang w:eastAsia="pl-PL"/>
        </w:rPr>
        <w:t xml:space="preserve">wypisu z Centralnego Rejestru Zastawów Skarbowych - w przypadku gdy dłużnik z tytułu zabezpieczenia przedłoży w FRW zaświadczenie właściwego organu o niezaleganiu z płatnością w podatkach oraz w składek do ZUS. </w:t>
      </w:r>
    </w:p>
    <w:p w14:paraId="78E08695" w14:textId="7B96FC6F" w:rsidR="003D3003" w:rsidRDefault="003D3003" w:rsidP="008C5E5B">
      <w:pPr>
        <w:ind w:right="397"/>
        <w:rPr>
          <w:rFonts w:ascii="Calibri" w:eastAsia="Times New Roman" w:hAnsi="Calibri" w:cs="Times New Roman"/>
          <w:lang w:eastAsia="pl-PL"/>
        </w:rPr>
      </w:pPr>
    </w:p>
    <w:p w14:paraId="5D52A7C7" w14:textId="580DF682" w:rsidR="006D5789" w:rsidRPr="006D5789" w:rsidRDefault="006D5789" w:rsidP="006D5789">
      <w:pPr>
        <w:pStyle w:val="Akapitzlist"/>
        <w:numPr>
          <w:ilvl w:val="0"/>
          <w:numId w:val="29"/>
        </w:numPr>
        <w:ind w:right="397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 w:rsidRPr="006D5789">
        <w:rPr>
          <w:rFonts w:ascii="Calibri" w:eastAsia="Times New Roman" w:hAnsi="Calibri" w:cs="Times New Roman"/>
          <w:b/>
          <w:u w:val="single"/>
          <w:lang w:eastAsia="pl-PL"/>
        </w:rPr>
        <w:t>PRZEWŁASZCZENIE ŚRODKÓW TRWAŁYCH</w:t>
      </w:r>
    </w:p>
    <w:p w14:paraId="46FB5303" w14:textId="77777777" w:rsidR="006D5789" w:rsidRDefault="006D5789" w:rsidP="006D5789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lang w:eastAsia="pl-PL"/>
        </w:rPr>
        <w:t xml:space="preserve"> Weryfikując i akceptując zabezpieczenie w postaci przewłaszczenia środków trwałych Fundusz bierze pod uwagę w szczególności ich obecną wartość, potencjalną utratę wartości w czasie oraz płynność (możliwość odsprzedaży). Z zasady nie są akceptowane drobne środki </w:t>
      </w:r>
      <w:r>
        <w:rPr>
          <w:rFonts w:ascii="Calibri" w:eastAsia="Times New Roman" w:hAnsi="Calibri" w:cs="Times New Roman"/>
          <w:lang w:eastAsia="pl-PL"/>
        </w:rPr>
        <w:tab/>
        <w:t>trwałe w postaci wyposażenia, np.; meble, sprzęt komputerowy czy też wysoce specjalistyczne  środki trwałe, dla których nie istnieje rynek  wtórny, co ograniczałoby możliwość ich odsprzedaży.</w:t>
      </w:r>
    </w:p>
    <w:p w14:paraId="32AC6C23" w14:textId="77777777" w:rsidR="006D5789" w:rsidRDefault="006D5789" w:rsidP="006D5789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Weryfikacja wartości zabezpieczenia odbywa się na podstawie f</w:t>
      </w:r>
      <w:r w:rsidRPr="00D10C06">
        <w:rPr>
          <w:rFonts w:ascii="Calibri" w:eastAsia="Times New Roman" w:hAnsi="Calibri" w:cs="Times New Roman"/>
          <w:lang w:eastAsia="pl-PL"/>
        </w:rPr>
        <w:t>aktur / um</w:t>
      </w:r>
      <w:r>
        <w:rPr>
          <w:rFonts w:ascii="Calibri" w:eastAsia="Times New Roman" w:hAnsi="Calibri" w:cs="Times New Roman"/>
          <w:lang w:eastAsia="pl-PL"/>
        </w:rPr>
        <w:t>ów</w:t>
      </w:r>
      <w:r w:rsidRPr="00D10C06">
        <w:rPr>
          <w:rFonts w:ascii="Calibri" w:eastAsia="Times New Roman" w:hAnsi="Calibri" w:cs="Times New Roman"/>
          <w:lang w:eastAsia="pl-PL"/>
        </w:rPr>
        <w:t xml:space="preserve"> /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D10C06">
        <w:rPr>
          <w:rFonts w:ascii="Calibri" w:eastAsia="Times New Roman" w:hAnsi="Calibri" w:cs="Times New Roman"/>
          <w:lang w:eastAsia="pl-PL"/>
        </w:rPr>
        <w:t>akt</w:t>
      </w:r>
      <w:r>
        <w:rPr>
          <w:rFonts w:ascii="Calibri" w:eastAsia="Times New Roman" w:hAnsi="Calibri" w:cs="Times New Roman"/>
          <w:lang w:eastAsia="pl-PL"/>
        </w:rPr>
        <w:t>ów</w:t>
      </w:r>
      <w:r w:rsidRPr="00D10C06">
        <w:rPr>
          <w:rFonts w:ascii="Calibri" w:eastAsia="Times New Roman" w:hAnsi="Calibri" w:cs="Times New Roman"/>
          <w:lang w:eastAsia="pl-PL"/>
        </w:rPr>
        <w:t xml:space="preserve"> notarialny</w:t>
      </w:r>
      <w:r>
        <w:rPr>
          <w:rFonts w:ascii="Calibri" w:eastAsia="Times New Roman" w:hAnsi="Calibri" w:cs="Times New Roman"/>
          <w:lang w:eastAsia="pl-PL"/>
        </w:rPr>
        <w:t>ch</w:t>
      </w:r>
      <w:r w:rsidRPr="00D10C06">
        <w:rPr>
          <w:rFonts w:ascii="Calibri" w:eastAsia="Times New Roman" w:hAnsi="Calibri" w:cs="Times New Roman"/>
          <w:lang w:eastAsia="pl-PL"/>
        </w:rPr>
        <w:t xml:space="preserve"> zakupu, jeżeli </w:t>
      </w:r>
      <w:r>
        <w:rPr>
          <w:rFonts w:ascii="Calibri" w:eastAsia="Times New Roman" w:hAnsi="Calibri" w:cs="Times New Roman"/>
          <w:lang w:eastAsia="pl-PL"/>
        </w:rPr>
        <w:t xml:space="preserve">są </w:t>
      </w:r>
      <w:r w:rsidRPr="00D10C06">
        <w:rPr>
          <w:rFonts w:ascii="Calibri" w:eastAsia="Times New Roman" w:hAnsi="Calibri" w:cs="Times New Roman"/>
          <w:lang w:eastAsia="pl-PL"/>
        </w:rPr>
        <w:t xml:space="preserve"> to rzecz</w:t>
      </w:r>
      <w:r>
        <w:rPr>
          <w:rFonts w:ascii="Calibri" w:eastAsia="Times New Roman" w:hAnsi="Calibri" w:cs="Times New Roman"/>
          <w:lang w:eastAsia="pl-PL"/>
        </w:rPr>
        <w:t>y</w:t>
      </w:r>
      <w:r w:rsidRPr="00D10C06">
        <w:rPr>
          <w:rFonts w:ascii="Calibri" w:eastAsia="Times New Roman" w:hAnsi="Calibri" w:cs="Times New Roman"/>
          <w:lang w:eastAsia="pl-PL"/>
        </w:rPr>
        <w:t xml:space="preserve"> nowo nabyt</w:t>
      </w:r>
      <w:r>
        <w:rPr>
          <w:rFonts w:ascii="Calibri" w:eastAsia="Times New Roman" w:hAnsi="Calibri" w:cs="Times New Roman"/>
          <w:lang w:eastAsia="pl-PL"/>
        </w:rPr>
        <w:t>e</w:t>
      </w:r>
      <w:r w:rsidRPr="00D10C06">
        <w:rPr>
          <w:rFonts w:ascii="Calibri" w:eastAsia="Times New Roman" w:hAnsi="Calibri" w:cs="Times New Roman"/>
          <w:lang w:eastAsia="pl-PL"/>
        </w:rPr>
        <w:t>,</w:t>
      </w:r>
      <w:r>
        <w:rPr>
          <w:rFonts w:ascii="Calibri" w:eastAsia="Times New Roman" w:hAnsi="Calibri" w:cs="Times New Roman"/>
          <w:lang w:eastAsia="pl-PL"/>
        </w:rPr>
        <w:t xml:space="preserve"> w</w:t>
      </w:r>
      <w:r w:rsidRPr="00D10C06">
        <w:rPr>
          <w:rFonts w:ascii="Calibri" w:eastAsia="Times New Roman" w:hAnsi="Calibri" w:cs="Times New Roman"/>
          <w:lang w:eastAsia="pl-PL"/>
        </w:rPr>
        <w:t>pis</w:t>
      </w:r>
      <w:r>
        <w:rPr>
          <w:rFonts w:ascii="Calibri" w:eastAsia="Times New Roman" w:hAnsi="Calibri" w:cs="Times New Roman"/>
          <w:lang w:eastAsia="pl-PL"/>
        </w:rPr>
        <w:t>u</w:t>
      </w:r>
      <w:r w:rsidRPr="00D10C06">
        <w:rPr>
          <w:rFonts w:ascii="Calibri" w:eastAsia="Times New Roman" w:hAnsi="Calibri" w:cs="Times New Roman"/>
          <w:lang w:eastAsia="pl-PL"/>
        </w:rPr>
        <w:t xml:space="preserve"> do ewidencji środków trwałych,</w:t>
      </w:r>
      <w:r>
        <w:rPr>
          <w:rFonts w:ascii="Calibri" w:eastAsia="Times New Roman" w:hAnsi="Calibri" w:cs="Times New Roman"/>
          <w:lang w:eastAsia="pl-PL"/>
        </w:rPr>
        <w:t xml:space="preserve"> a</w:t>
      </w:r>
      <w:r w:rsidRPr="00D10C06">
        <w:rPr>
          <w:rFonts w:ascii="Calibri" w:eastAsia="Times New Roman" w:hAnsi="Calibri" w:cs="Times New Roman"/>
          <w:lang w:eastAsia="pl-PL"/>
        </w:rPr>
        <w:t>ktualn</w:t>
      </w:r>
      <w:r>
        <w:rPr>
          <w:rFonts w:ascii="Calibri" w:eastAsia="Times New Roman" w:hAnsi="Calibri" w:cs="Times New Roman"/>
          <w:lang w:eastAsia="pl-PL"/>
        </w:rPr>
        <w:t>ych</w:t>
      </w:r>
      <w:r w:rsidRPr="00D10C06">
        <w:rPr>
          <w:rFonts w:ascii="Calibri" w:eastAsia="Times New Roman" w:hAnsi="Calibri" w:cs="Times New Roman"/>
          <w:lang w:eastAsia="pl-PL"/>
        </w:rPr>
        <w:t xml:space="preserve"> wycen,</w:t>
      </w:r>
      <w:r>
        <w:rPr>
          <w:rFonts w:ascii="Calibri" w:eastAsia="Times New Roman" w:hAnsi="Calibri" w:cs="Times New Roman"/>
          <w:lang w:eastAsia="pl-PL"/>
        </w:rPr>
        <w:t xml:space="preserve"> p</w:t>
      </w:r>
      <w:r w:rsidRPr="00D10C06">
        <w:rPr>
          <w:rFonts w:ascii="Calibri" w:eastAsia="Times New Roman" w:hAnsi="Calibri" w:cs="Times New Roman"/>
          <w:lang w:eastAsia="pl-PL"/>
        </w:rPr>
        <w:t>olis ubezpieczenia.</w:t>
      </w:r>
    </w:p>
    <w:p w14:paraId="1BBD5096" w14:textId="2B34BED6" w:rsidR="006D5789" w:rsidRPr="009D72CE" w:rsidRDefault="006D5789" w:rsidP="006D5789">
      <w:pPr>
        <w:ind w:left="397" w:right="397"/>
        <w:jc w:val="both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9D72CE">
        <w:rPr>
          <w:rFonts w:ascii="Calibri" w:eastAsia="Times New Roman" w:hAnsi="Calibri" w:cs="Times New Roman"/>
          <w:b/>
          <w:bCs/>
          <w:u w:val="single"/>
          <w:lang w:eastAsia="pl-PL"/>
        </w:rPr>
        <w:t>Pożyczkobiorca zobowiązany jest do ubezpieczenia przewłaszczonych na rzecz FRW rzeczy i dokona</w:t>
      </w:r>
      <w:r w:rsidR="00F01F2A">
        <w:rPr>
          <w:rFonts w:ascii="Calibri" w:eastAsia="Times New Roman" w:hAnsi="Calibri" w:cs="Times New Roman"/>
          <w:b/>
          <w:bCs/>
          <w:u w:val="single"/>
          <w:lang w:eastAsia="pl-PL"/>
        </w:rPr>
        <w:t>nia</w:t>
      </w:r>
      <w:r w:rsidRPr="009D72CE">
        <w:rPr>
          <w:rFonts w:ascii="Calibri" w:eastAsia="Times New Roman" w:hAnsi="Calibri" w:cs="Times New Roman"/>
          <w:b/>
          <w:bCs/>
          <w:u w:val="single"/>
          <w:lang w:eastAsia="pl-PL"/>
        </w:rPr>
        <w:t xml:space="preserve"> cesji praw z polisy na podstawie umowy cesji poświadczonej przez towarzystwo ubezpieczeniowe.</w:t>
      </w:r>
    </w:p>
    <w:p w14:paraId="48C9441D" w14:textId="77777777" w:rsidR="006D5789" w:rsidRDefault="006D5789" w:rsidP="006D5789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Dokumentacja: </w:t>
      </w:r>
    </w:p>
    <w:p w14:paraId="6C46DA29" w14:textId="77777777" w:rsidR="006D5789" w:rsidRDefault="006D5789" w:rsidP="006D5789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oferta kupna/sprzedaży środków trwałych (faktura pro forma/ oferta handlowa) w przypadku przewłaszczenia kupowanych środków trwałych</w:t>
      </w:r>
    </w:p>
    <w:p w14:paraId="752C37A0" w14:textId="77777777" w:rsidR="006D5789" w:rsidRDefault="006D5789" w:rsidP="006D5789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dokumenty potwierdzające nabycie środków trwałych (faktury/rachunki) w przypadku przewłaszczenia  już posiadanych środków trwałych</w:t>
      </w:r>
    </w:p>
    <w:p w14:paraId="3C5EE225" w14:textId="77777777" w:rsidR="006D5789" w:rsidRDefault="006D5789" w:rsidP="006D5789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dowodu rejestracyjnego w przypadku przewłaszczenia pojazdu podlegającego rejestracji w Wydziale Komunikacji,</w:t>
      </w:r>
    </w:p>
    <w:p w14:paraId="1F168A5F" w14:textId="77777777" w:rsidR="006D5789" w:rsidRPr="009A611B" w:rsidRDefault="006D5789" w:rsidP="006D5789">
      <w:pPr>
        <w:ind w:left="397" w:right="39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</w:t>
      </w:r>
      <w:r w:rsidRPr="009A611B">
        <w:rPr>
          <w:rFonts w:ascii="Calibri" w:eastAsia="Times New Roman" w:hAnsi="Calibri" w:cs="Times New Roman"/>
          <w:bCs/>
          <w:lang w:eastAsia="pl-PL"/>
        </w:rPr>
        <w:t>zaświadczeni</w:t>
      </w:r>
      <w:r>
        <w:rPr>
          <w:rFonts w:ascii="Calibri" w:eastAsia="Times New Roman" w:hAnsi="Calibri" w:cs="Times New Roman"/>
          <w:bCs/>
          <w:lang w:eastAsia="pl-PL"/>
        </w:rPr>
        <w:t>a</w:t>
      </w:r>
      <w:r w:rsidRPr="009A611B">
        <w:rPr>
          <w:rFonts w:ascii="Calibri" w:eastAsia="Times New Roman" w:hAnsi="Calibri" w:cs="Times New Roman"/>
          <w:bCs/>
          <w:lang w:eastAsia="pl-PL"/>
        </w:rPr>
        <w:t>, potwierdzające, że przedmiot zastawu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9A611B">
        <w:rPr>
          <w:rFonts w:ascii="Calibri" w:eastAsia="Times New Roman" w:hAnsi="Calibri" w:cs="Times New Roman"/>
          <w:bCs/>
          <w:lang w:eastAsia="pl-PL"/>
        </w:rPr>
        <w:t>nie został obciążony zastawem rejestrowym i zastawem skarbowym</w:t>
      </w:r>
      <w:r>
        <w:rPr>
          <w:rFonts w:ascii="Calibri" w:eastAsia="Times New Roman" w:hAnsi="Calibri" w:cs="Times New Roman"/>
          <w:bCs/>
          <w:lang w:eastAsia="pl-PL"/>
        </w:rPr>
        <w:t xml:space="preserve"> oraz, że </w:t>
      </w:r>
      <w:r w:rsidRPr="009A611B">
        <w:rPr>
          <w:rFonts w:ascii="Calibri" w:eastAsia="Times New Roman" w:hAnsi="Calibri" w:cs="Times New Roman"/>
          <w:bCs/>
          <w:lang w:eastAsia="pl-PL"/>
        </w:rPr>
        <w:t xml:space="preserve">nie toczy się postępowanie o jego wpis do rejestru zastawów. </w:t>
      </w:r>
    </w:p>
    <w:p w14:paraId="3EC72BB0" w14:textId="77777777" w:rsidR="006D5789" w:rsidRPr="004E3975" w:rsidRDefault="006D5789" w:rsidP="006D5789">
      <w:pPr>
        <w:spacing w:after="0" w:line="240" w:lineRule="auto"/>
        <w:ind w:right="397" w:firstLine="397"/>
        <w:rPr>
          <w:rFonts w:ascii="Calibri" w:eastAsia="Times New Roman" w:hAnsi="Calibri" w:cs="Times New Roman"/>
          <w:b/>
          <w:u w:val="single"/>
          <w:lang w:eastAsia="pl-PL"/>
        </w:rPr>
      </w:pPr>
      <w:r w:rsidRPr="009A611B">
        <w:rPr>
          <w:rFonts w:ascii="Calibri" w:eastAsia="Times New Roman" w:hAnsi="Calibri" w:cs="Times New Roman"/>
          <w:b/>
          <w:u w:val="single"/>
          <w:lang w:eastAsia="pl-PL"/>
        </w:rPr>
        <w:t>Nie wymaga się przedłożenia:</w:t>
      </w:r>
    </w:p>
    <w:p w14:paraId="79E3DC38" w14:textId="77777777" w:rsidR="006D5789" w:rsidRPr="00E6417D" w:rsidRDefault="006D5789" w:rsidP="006D5789">
      <w:pPr>
        <w:pStyle w:val="Akapitzlist"/>
        <w:numPr>
          <w:ilvl w:val="0"/>
          <w:numId w:val="34"/>
        </w:numPr>
        <w:spacing w:after="0" w:line="240" w:lineRule="auto"/>
        <w:ind w:right="397"/>
        <w:rPr>
          <w:rFonts w:ascii="Calibri" w:eastAsia="Times New Roman" w:hAnsi="Calibri" w:cs="Times New Roman"/>
          <w:b/>
          <w:u w:val="single"/>
          <w:lang w:eastAsia="pl-PL"/>
        </w:rPr>
      </w:pPr>
      <w:r w:rsidRPr="00E6417D">
        <w:rPr>
          <w:rFonts w:ascii="Calibri" w:eastAsia="Times New Roman" w:hAnsi="Calibri" w:cs="Times New Roman"/>
          <w:b/>
          <w:u w:val="single"/>
          <w:lang w:eastAsia="pl-PL"/>
        </w:rPr>
        <w:t xml:space="preserve">zaświadczenia z Centralnej Informacji o Zastawach Rejestrowych – w przypadku, gdy przedmiotem przewłaszczenia ma/mają być rzecz/y ruchoma/e nabywana/e na rynku pierwotnym,  </w:t>
      </w:r>
    </w:p>
    <w:p w14:paraId="35845604" w14:textId="77777777" w:rsidR="006D5789" w:rsidRPr="00A204A3" w:rsidRDefault="006D5789" w:rsidP="006D5789">
      <w:pPr>
        <w:pStyle w:val="Akapitzlist"/>
        <w:numPr>
          <w:ilvl w:val="0"/>
          <w:numId w:val="34"/>
        </w:numPr>
        <w:spacing w:after="0" w:line="240" w:lineRule="auto"/>
        <w:ind w:right="397"/>
        <w:rPr>
          <w:rFonts w:ascii="Calibri" w:eastAsia="Times New Roman" w:hAnsi="Calibri" w:cs="Times New Roman"/>
          <w:b/>
          <w:u w:val="single"/>
          <w:lang w:eastAsia="pl-PL"/>
        </w:rPr>
      </w:pPr>
      <w:r w:rsidRPr="00A204A3">
        <w:rPr>
          <w:rFonts w:ascii="Calibri" w:eastAsia="Times New Roman" w:hAnsi="Calibri" w:cs="Times New Roman"/>
          <w:b/>
          <w:u w:val="single"/>
          <w:lang w:eastAsia="pl-PL"/>
        </w:rPr>
        <w:t xml:space="preserve">wypisu z Centralnego Rejestru Zastawów Skarbowych - w przypadku gdy dłużnik z tytułu zabezpieczenia przedłoży w FRW zaświadczenie właściwego organu o niezaleganiu z płatnością w podatkach oraz w składek do ZUS. </w:t>
      </w:r>
    </w:p>
    <w:p w14:paraId="6A5F1918" w14:textId="77777777" w:rsidR="006D5789" w:rsidRDefault="006D5789" w:rsidP="008C5E5B">
      <w:pPr>
        <w:ind w:right="397"/>
        <w:rPr>
          <w:rFonts w:ascii="Calibri" w:eastAsia="Times New Roman" w:hAnsi="Calibri" w:cs="Times New Roman"/>
          <w:lang w:eastAsia="pl-PL"/>
        </w:rPr>
      </w:pPr>
    </w:p>
    <w:p w14:paraId="0E627A2A" w14:textId="77777777" w:rsidR="007635D5" w:rsidRDefault="007635D5" w:rsidP="007635D5">
      <w:pPr>
        <w:ind w:left="397" w:right="397"/>
        <w:rPr>
          <w:rFonts w:ascii="Calibri" w:eastAsia="Times New Roman" w:hAnsi="Calibri" w:cs="Times New Roman"/>
          <w:b/>
          <w:lang w:eastAsia="pl-PL"/>
        </w:rPr>
      </w:pPr>
    </w:p>
    <w:p w14:paraId="72F557D9" w14:textId="563E143D" w:rsidR="007635D5" w:rsidRPr="00F92387" w:rsidRDefault="007635D5" w:rsidP="00F67512">
      <w:pPr>
        <w:pStyle w:val="Akapitzlist"/>
        <w:numPr>
          <w:ilvl w:val="0"/>
          <w:numId w:val="29"/>
        </w:numPr>
        <w:ind w:right="397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 w:rsidRPr="00F92387">
        <w:rPr>
          <w:rFonts w:ascii="Calibri" w:eastAsia="Times New Roman" w:hAnsi="Calibri" w:cs="Times New Roman"/>
          <w:b/>
          <w:u w:val="single"/>
          <w:lang w:eastAsia="pl-PL"/>
        </w:rPr>
        <w:t>HIPOTEKA NA NIERUCHOMOŚCI</w:t>
      </w:r>
    </w:p>
    <w:p w14:paraId="493821AF" w14:textId="140B7B52" w:rsidR="007635D5" w:rsidRDefault="007635D5" w:rsidP="007635D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Uwaga!</w:t>
      </w:r>
      <w:r>
        <w:rPr>
          <w:rFonts w:ascii="Calibri" w:eastAsia="Times New Roman" w:hAnsi="Calibri" w:cs="Times New Roman"/>
          <w:lang w:eastAsia="pl-PL"/>
        </w:rPr>
        <w:t xml:space="preserve"> Fundusz przyjmuje na zabezpieczenie nieruchomości użytkowe. W drodze wyjątku gdy Wnioskodawca posiada dwa lokale mieszkalne, a nieruchomość na zabezpieczenie nie jest </w:t>
      </w:r>
      <w:r>
        <w:rPr>
          <w:rFonts w:ascii="Calibri" w:eastAsia="Times New Roman" w:hAnsi="Calibri" w:cs="Times New Roman"/>
          <w:lang w:eastAsia="pl-PL"/>
        </w:rPr>
        <w:tab/>
        <w:t xml:space="preserve">przez niego zamieszkiwana Fundusz może ustanowić hipotekę na lokalu mieszkalnym. Ograniczeniom podlegają zabezpieczenia na nieruchomościach stanowiących grunty rolne. </w:t>
      </w:r>
    </w:p>
    <w:p w14:paraId="0971082D" w14:textId="1786B077" w:rsidR="007635D5" w:rsidRDefault="007635D5" w:rsidP="007635D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Weryfikacja wartości nieruchomości odbywa się na podstawie operatu szacunkowego lub ustalonej ceny zakupu. W drodze wyjątku gdy wartość nieruchomości na zabezpieczenie jest </w:t>
      </w:r>
      <w:r>
        <w:rPr>
          <w:rFonts w:ascii="Calibri" w:eastAsia="Times New Roman" w:hAnsi="Calibri" w:cs="Times New Roman"/>
          <w:lang w:eastAsia="pl-PL"/>
        </w:rPr>
        <w:tab/>
        <w:t xml:space="preserve">możliwa do ustalenia metodą porównawczą poza wszelką wątpliwość, Fundusz może </w:t>
      </w:r>
      <w:r>
        <w:rPr>
          <w:rFonts w:ascii="Calibri" w:eastAsia="Times New Roman" w:hAnsi="Calibri" w:cs="Times New Roman"/>
          <w:lang w:eastAsia="pl-PL"/>
        </w:rPr>
        <w:tab/>
        <w:t xml:space="preserve">odstąpić od weryfikacji operatu szacunkowego. </w:t>
      </w:r>
    </w:p>
    <w:p w14:paraId="50535268" w14:textId="3C2202B8" w:rsidR="007635D5" w:rsidRDefault="007635D5" w:rsidP="007635D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Ustanowienie hipoteki na nieruchomości odbywa się wyłącznie za pośrednictwem   notariusza, który składa wniosek do Wydziału Ksiąg Wieczystych w imieniu Pożyczkobiorcy. </w:t>
      </w:r>
    </w:p>
    <w:p w14:paraId="278D3221" w14:textId="7FCF2389" w:rsidR="007635D5" w:rsidRDefault="007635D5" w:rsidP="007635D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Środki z pożyczki mogą być uruchomione po ustanowieniu zabezpieczenia, tj. złożenia wniosku o wpis hipoteki do Księgi Wieczystej. W wyjątkowych przypadkach, gdy sprzedającym nieruchomość jest jednostka samorządu  terytorialnego, środki z pożyczki mogą być uruchomione przed złożeniem wniosku o wpis hipoteki. </w:t>
      </w:r>
    </w:p>
    <w:p w14:paraId="6EC8E75D" w14:textId="77777777" w:rsidR="007635D5" w:rsidRDefault="007635D5" w:rsidP="007635D5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Dokumenty:</w:t>
      </w:r>
    </w:p>
    <w:p w14:paraId="2C60D0A6" w14:textId="77777777" w:rsidR="007635D5" w:rsidRDefault="007635D5" w:rsidP="007635D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odpis z Księgi Wieczystej nieruchomości </w:t>
      </w:r>
    </w:p>
    <w:p w14:paraId="19313F82" w14:textId="77777777" w:rsidR="007635D5" w:rsidRDefault="007635D5" w:rsidP="007635D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</w:t>
      </w:r>
      <w:proofErr w:type="spellStart"/>
      <w:r>
        <w:rPr>
          <w:rFonts w:ascii="Calibri" w:eastAsia="Times New Roman" w:hAnsi="Calibri" w:cs="Times New Roman"/>
          <w:lang w:eastAsia="pl-PL"/>
        </w:rPr>
        <w:t>wyrys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mapy oraz wypis z  ewidencji gruntów i budynków w przypadku nieruchomości gruntowych i budynków wolnostojących </w:t>
      </w:r>
    </w:p>
    <w:p w14:paraId="621B1599" w14:textId="77777777" w:rsidR="006A106C" w:rsidRDefault="007635D5" w:rsidP="007635D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operat szacunkowy (konieczny gdy wartości nieruchomości nie można ustalić metodą porównawczą ponad wszelką wątpliwość)</w:t>
      </w:r>
      <w:r w:rsidR="00797881">
        <w:rPr>
          <w:rFonts w:ascii="Calibri" w:eastAsia="Times New Roman" w:hAnsi="Calibri" w:cs="Times New Roman"/>
          <w:lang w:eastAsia="pl-PL"/>
        </w:rPr>
        <w:t xml:space="preserve"> lub w</w:t>
      </w:r>
      <w:r w:rsidR="00797881" w:rsidRPr="00797881">
        <w:rPr>
          <w:rFonts w:ascii="Calibri" w:eastAsia="Times New Roman" w:hAnsi="Calibri" w:cs="Times New Roman"/>
          <w:lang w:eastAsia="pl-PL"/>
        </w:rPr>
        <w:t xml:space="preserve"> przypadku wnioskowanej pożyczki o wartości równej lub wyższej kwocie 300.000,00 </w:t>
      </w:r>
      <w:r w:rsidR="006A106C">
        <w:rPr>
          <w:rFonts w:ascii="Calibri" w:eastAsia="Times New Roman" w:hAnsi="Calibri" w:cs="Times New Roman"/>
          <w:lang w:eastAsia="pl-PL"/>
        </w:rPr>
        <w:t>PLN.</w:t>
      </w:r>
      <w:r w:rsidR="00797881" w:rsidRPr="00797881">
        <w:rPr>
          <w:rFonts w:ascii="Calibri" w:eastAsia="Times New Roman" w:hAnsi="Calibri" w:cs="Times New Roman"/>
          <w:lang w:eastAsia="pl-PL"/>
        </w:rPr>
        <w:t xml:space="preserve"> </w:t>
      </w:r>
    </w:p>
    <w:p w14:paraId="115E117B" w14:textId="4CB6037A" w:rsidR="007635D5" w:rsidRPr="006A106C" w:rsidRDefault="00797881" w:rsidP="007635D5">
      <w:pPr>
        <w:ind w:left="397" w:right="397"/>
        <w:jc w:val="both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6A106C">
        <w:rPr>
          <w:rFonts w:ascii="Calibri" w:eastAsia="Times New Roman" w:hAnsi="Calibri" w:cs="Times New Roman"/>
          <w:b/>
          <w:bCs/>
          <w:u w:val="single"/>
          <w:lang w:eastAsia="pl-PL"/>
        </w:rPr>
        <w:t xml:space="preserve">FRW </w:t>
      </w:r>
      <w:r w:rsidR="0009514E">
        <w:rPr>
          <w:rFonts w:ascii="Calibri" w:eastAsia="Times New Roman" w:hAnsi="Calibri" w:cs="Times New Roman"/>
          <w:b/>
          <w:bCs/>
          <w:u w:val="single"/>
          <w:lang w:eastAsia="pl-PL"/>
        </w:rPr>
        <w:t xml:space="preserve">w przypadkach </w:t>
      </w:r>
      <w:r w:rsidRPr="006A106C">
        <w:rPr>
          <w:rFonts w:ascii="Calibri" w:eastAsia="Times New Roman" w:hAnsi="Calibri" w:cs="Times New Roman"/>
          <w:b/>
          <w:bCs/>
          <w:u w:val="single"/>
          <w:lang w:eastAsia="pl-PL"/>
        </w:rPr>
        <w:t>wym</w:t>
      </w:r>
      <w:r w:rsidR="0009514E">
        <w:rPr>
          <w:rFonts w:ascii="Calibri" w:eastAsia="Times New Roman" w:hAnsi="Calibri" w:cs="Times New Roman"/>
          <w:b/>
          <w:bCs/>
          <w:u w:val="single"/>
          <w:lang w:eastAsia="pl-PL"/>
        </w:rPr>
        <w:t>o</w:t>
      </w:r>
      <w:r w:rsidRPr="006A106C">
        <w:rPr>
          <w:rFonts w:ascii="Calibri" w:eastAsia="Times New Roman" w:hAnsi="Calibri" w:cs="Times New Roman"/>
          <w:b/>
          <w:bCs/>
          <w:u w:val="single"/>
          <w:lang w:eastAsia="pl-PL"/>
        </w:rPr>
        <w:t>g</w:t>
      </w:r>
      <w:r w:rsidR="0009514E">
        <w:rPr>
          <w:rFonts w:ascii="Calibri" w:eastAsia="Times New Roman" w:hAnsi="Calibri" w:cs="Times New Roman"/>
          <w:b/>
          <w:bCs/>
          <w:u w:val="single"/>
          <w:lang w:eastAsia="pl-PL"/>
        </w:rPr>
        <w:t>u</w:t>
      </w:r>
      <w:r w:rsidRPr="006A106C">
        <w:rPr>
          <w:rFonts w:ascii="Calibri" w:eastAsia="Times New Roman" w:hAnsi="Calibri" w:cs="Times New Roman"/>
          <w:b/>
          <w:bCs/>
          <w:u w:val="single"/>
          <w:lang w:eastAsia="pl-PL"/>
        </w:rPr>
        <w:t xml:space="preserve"> przedstawienia </w:t>
      </w:r>
      <w:r w:rsidR="0009514E">
        <w:rPr>
          <w:rFonts w:ascii="Calibri" w:eastAsia="Times New Roman" w:hAnsi="Calibri" w:cs="Times New Roman"/>
          <w:b/>
          <w:bCs/>
          <w:u w:val="single"/>
          <w:lang w:eastAsia="pl-PL"/>
        </w:rPr>
        <w:t xml:space="preserve">przez Wnioskodawcę </w:t>
      </w:r>
      <w:r w:rsidRPr="006A106C">
        <w:rPr>
          <w:rFonts w:ascii="Calibri" w:eastAsia="Times New Roman" w:hAnsi="Calibri" w:cs="Times New Roman"/>
          <w:b/>
          <w:bCs/>
          <w:u w:val="single"/>
          <w:lang w:eastAsia="pl-PL"/>
        </w:rPr>
        <w:t>operatu szacunkowego sporządzonego przez rzeczoznawcę majątkowego</w:t>
      </w:r>
      <w:r w:rsidR="0009514E">
        <w:rPr>
          <w:rFonts w:ascii="Calibri" w:eastAsia="Times New Roman" w:hAnsi="Calibri" w:cs="Times New Roman"/>
          <w:b/>
          <w:bCs/>
          <w:u w:val="single"/>
          <w:lang w:eastAsia="pl-PL"/>
        </w:rPr>
        <w:t xml:space="preserve"> </w:t>
      </w:r>
      <w:r w:rsidRPr="006A106C">
        <w:rPr>
          <w:rFonts w:ascii="Calibri" w:eastAsia="Times New Roman" w:hAnsi="Calibri" w:cs="Times New Roman"/>
          <w:b/>
          <w:bCs/>
          <w:u w:val="single"/>
          <w:lang w:eastAsia="pl-PL"/>
        </w:rPr>
        <w:t xml:space="preserve"> w terminie do 12 miesięcy poprzedzających złożenie wniosku pożyczkowego.</w:t>
      </w:r>
    </w:p>
    <w:p w14:paraId="60D15873" w14:textId="77777777" w:rsidR="007635D5" w:rsidRDefault="007635D5" w:rsidP="007635D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przedwstępna umowa sprzedaży lub oświadczenie zbywcy ze wskazaniem ustalonej ceny sprzedaży oraz  terminu i sposobu zapłaty w przypadku gdy zabezpieczeniem ma być kupowana nieruchomość</w:t>
      </w:r>
    </w:p>
    <w:p w14:paraId="5A3B1987" w14:textId="77777777" w:rsidR="007635D5" w:rsidRDefault="007635D5" w:rsidP="007635D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umowa  nabycia nieruchomości (akt notarialny, darowizna) w przypadku ustanowienia hipoteki na posiadanej nieruchomości</w:t>
      </w:r>
    </w:p>
    <w:p w14:paraId="384CB9D6" w14:textId="6DD6191C" w:rsidR="007635D5" w:rsidRPr="0009514E" w:rsidRDefault="007635D5" w:rsidP="0009514E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oświadczenie właściciela nieruchomości zawierające zgodę na ustanowienie hipoteki , w przypadku, gdy jest nią inna osoba, niż Wnioskodawca</w:t>
      </w:r>
    </w:p>
    <w:p w14:paraId="402DC7A2" w14:textId="77777777" w:rsidR="00A204A3" w:rsidRDefault="00A204A3" w:rsidP="00590C77">
      <w:pPr>
        <w:ind w:right="397"/>
        <w:jc w:val="both"/>
        <w:rPr>
          <w:rFonts w:ascii="Calibri" w:eastAsia="Times New Roman" w:hAnsi="Calibri" w:cs="Times New Roman"/>
          <w:lang w:eastAsia="pl-PL"/>
        </w:rPr>
      </w:pPr>
    </w:p>
    <w:p w14:paraId="0965A15C" w14:textId="77777777" w:rsidR="007635D5" w:rsidRDefault="007635D5" w:rsidP="007635D5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FUNDUSZ ZASTRZEGA PRAWO DO WERYFIKACJI DODATKOWYCH DOKUMENTÓW ZWIĄZANYCH Z WYBRANĄ FORMĄ ZABEZPIECZENIA W CELU OKREŚLENIE JEGO WARTOŚCI. </w:t>
      </w:r>
    </w:p>
    <w:p w14:paraId="08FFE851" w14:textId="0C8E4D11" w:rsidR="00551F36" w:rsidRDefault="007635D5" w:rsidP="00415E5D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PROPOZYCJE ZABEZPIECZENIA NIE WYMIENIONE POWYŻEJ SĄ USTALANE INDYWIDUALNIE</w:t>
      </w:r>
    </w:p>
    <w:p w14:paraId="66BEA441" w14:textId="1B2CF6D6" w:rsidR="00604A72" w:rsidRPr="00551F36" w:rsidRDefault="007635D5" w:rsidP="007635D5">
      <w:pPr>
        <w:ind w:left="397" w:right="397"/>
        <w:rPr>
          <w:rFonts w:ascii="Calibri" w:eastAsia="Times New Roman" w:hAnsi="Calibri" w:cs="Times New Roman"/>
          <w:b/>
          <w:u w:val="single"/>
          <w:lang w:eastAsia="hi-IN"/>
        </w:rPr>
      </w:pPr>
      <w:r w:rsidRPr="00551F36">
        <w:rPr>
          <w:rFonts w:ascii="Calibri" w:eastAsia="Times New Roman" w:hAnsi="Calibri" w:cs="Times New Roman"/>
          <w:b/>
          <w:u w:val="single"/>
        </w:rPr>
        <w:lastRenderedPageBreak/>
        <w:t xml:space="preserve">FRW </w:t>
      </w:r>
      <w:r w:rsidR="00415E5D">
        <w:rPr>
          <w:rFonts w:ascii="Calibri" w:eastAsia="Times New Roman" w:hAnsi="Calibri" w:cs="Times New Roman"/>
          <w:b/>
          <w:u w:val="single"/>
        </w:rPr>
        <w:t xml:space="preserve">NIE AKCEPTUJE W RAMACH FUNDUSZU POŻYCZKOWEGO POŻYCZKI UNIWERSALNEJ </w:t>
      </w:r>
      <w:r w:rsidR="00F709CA">
        <w:rPr>
          <w:rFonts w:ascii="Calibri" w:eastAsia="Times New Roman" w:hAnsi="Calibri" w:cs="Times New Roman"/>
          <w:b/>
          <w:u w:val="single"/>
        </w:rPr>
        <w:t xml:space="preserve">TRANSAKCJI POMIĘDZY PODMIOTAMI POWIĄZANYMI. </w:t>
      </w:r>
    </w:p>
    <w:sectPr w:rsidR="00604A72" w:rsidRPr="00551F36" w:rsidSect="002B6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85F11" w14:textId="77777777" w:rsidR="008469DB" w:rsidRDefault="008469DB" w:rsidP="004C1E35">
      <w:pPr>
        <w:spacing w:after="0" w:line="240" w:lineRule="auto"/>
      </w:pPr>
      <w:r>
        <w:separator/>
      </w:r>
    </w:p>
  </w:endnote>
  <w:endnote w:type="continuationSeparator" w:id="0">
    <w:p w14:paraId="2BED33CA" w14:textId="77777777" w:rsidR="008469DB" w:rsidRDefault="008469DB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EDF28" w14:textId="77777777" w:rsidR="00B766D5" w:rsidRDefault="00B76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D698" w14:textId="2FA6B62F" w:rsidR="00503D75" w:rsidRDefault="005D2C62" w:rsidP="00E4019A">
    <w:pPr>
      <w:pStyle w:val="Stopka"/>
      <w:tabs>
        <w:tab w:val="clear" w:pos="4536"/>
        <w:tab w:val="clear" w:pos="9072"/>
        <w:tab w:val="left" w:pos="3698"/>
      </w:tabs>
      <w:ind w:left="1134" w:right="113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A7E4F2" wp14:editId="39524ACE">
          <wp:simplePos x="0" y="0"/>
          <wp:positionH relativeFrom="margin">
            <wp:align>center</wp:align>
          </wp:positionH>
          <wp:positionV relativeFrom="paragraph">
            <wp:posOffset>-212103</wp:posOffset>
          </wp:positionV>
          <wp:extent cx="5876925" cy="1004570"/>
          <wp:effectExtent l="0" t="0" r="9525" b="508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1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F451" w14:textId="77777777" w:rsidR="00B766D5" w:rsidRDefault="00B76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51FBA" w14:textId="77777777" w:rsidR="008469DB" w:rsidRDefault="008469DB" w:rsidP="004C1E35">
      <w:pPr>
        <w:spacing w:after="0" w:line="240" w:lineRule="auto"/>
      </w:pPr>
      <w:r>
        <w:separator/>
      </w:r>
    </w:p>
  </w:footnote>
  <w:footnote w:type="continuationSeparator" w:id="0">
    <w:p w14:paraId="6B5DA5B6" w14:textId="77777777" w:rsidR="008469DB" w:rsidRDefault="008469DB" w:rsidP="004C1E35">
      <w:pPr>
        <w:spacing w:after="0" w:line="240" w:lineRule="auto"/>
      </w:pPr>
      <w:r>
        <w:continuationSeparator/>
      </w:r>
    </w:p>
  </w:footnote>
  <w:footnote w:id="1">
    <w:p w14:paraId="245A291D" w14:textId="1A2C3296" w:rsidR="00821DE4" w:rsidRPr="00EE4A92" w:rsidRDefault="00821DE4">
      <w:pPr>
        <w:pStyle w:val="Tekstprzypisudolnego"/>
        <w:rPr>
          <w:rFonts w:asciiTheme="minorHAnsi" w:hAnsiTheme="minorHAnsi" w:cstheme="minorHAnsi"/>
          <w:lang w:val="pl-PL"/>
        </w:rPr>
      </w:pPr>
      <w:r w:rsidRPr="00EE4A92">
        <w:rPr>
          <w:rStyle w:val="Odwoanieprzypisudolnego"/>
          <w:rFonts w:asciiTheme="minorHAnsi" w:hAnsiTheme="minorHAnsi" w:cstheme="minorHAnsi"/>
        </w:rPr>
        <w:footnoteRef/>
      </w:r>
      <w:r w:rsidRPr="00EE4A92">
        <w:rPr>
          <w:rFonts w:asciiTheme="minorHAnsi" w:hAnsiTheme="minorHAnsi" w:cstheme="minorHAnsi"/>
        </w:rPr>
        <w:t xml:space="preserve"> Ostateczna forma zabezpieczenia uzależniona jest od akceptacji FRW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E0F1" w14:textId="77777777" w:rsidR="00A400ED" w:rsidRDefault="008469DB">
    <w:pPr>
      <w:pStyle w:val="Nagwek"/>
    </w:pPr>
    <w:r>
      <w:rPr>
        <w:noProof/>
        <w:lang w:eastAsia="pl-PL"/>
      </w:rPr>
      <w:pict w14:anchorId="6B4C6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0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7138" w14:textId="1051444A" w:rsidR="00A400ED" w:rsidRDefault="005C3EE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B5766B" wp14:editId="34D9DD5F">
          <wp:simplePos x="0" y="0"/>
          <wp:positionH relativeFrom="column">
            <wp:posOffset>87785</wp:posOffset>
          </wp:positionH>
          <wp:positionV relativeFrom="paragraph">
            <wp:posOffset>-177282</wp:posOffset>
          </wp:positionV>
          <wp:extent cx="6840220" cy="781685"/>
          <wp:effectExtent l="0" t="0" r="0" b="0"/>
          <wp:wrapNone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A17E" w14:textId="77777777" w:rsidR="00A400ED" w:rsidRDefault="008469DB">
    <w:pPr>
      <w:pStyle w:val="Nagwek"/>
    </w:pPr>
    <w:r>
      <w:rPr>
        <w:noProof/>
        <w:lang w:eastAsia="pl-PL"/>
      </w:rPr>
      <w:pict w14:anchorId="33E5A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59" o:spid="_x0000_s210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513"/>
    <w:multiLevelType w:val="hybridMultilevel"/>
    <w:tmpl w:val="C9BE0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E4E"/>
    <w:multiLevelType w:val="hybridMultilevel"/>
    <w:tmpl w:val="1010B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E11A3"/>
    <w:multiLevelType w:val="hybridMultilevel"/>
    <w:tmpl w:val="A7842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6F3D"/>
    <w:multiLevelType w:val="hybridMultilevel"/>
    <w:tmpl w:val="74348DE0"/>
    <w:lvl w:ilvl="0" w:tplc="8F0C6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511C0"/>
    <w:multiLevelType w:val="hybridMultilevel"/>
    <w:tmpl w:val="D6ECC492"/>
    <w:lvl w:ilvl="0" w:tplc="911C545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121"/>
    <w:multiLevelType w:val="hybridMultilevel"/>
    <w:tmpl w:val="8A1CDA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C6A7A"/>
    <w:multiLevelType w:val="hybridMultilevel"/>
    <w:tmpl w:val="31FA9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161"/>
    <w:multiLevelType w:val="hybridMultilevel"/>
    <w:tmpl w:val="9CE0A924"/>
    <w:lvl w:ilvl="0" w:tplc="C7B01D2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79A4"/>
    <w:multiLevelType w:val="hybridMultilevel"/>
    <w:tmpl w:val="9612A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451A7"/>
    <w:multiLevelType w:val="hybridMultilevel"/>
    <w:tmpl w:val="4F500E30"/>
    <w:lvl w:ilvl="0" w:tplc="8E7CD0F6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A0B"/>
    <w:multiLevelType w:val="hybridMultilevel"/>
    <w:tmpl w:val="E808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6AA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0B36"/>
    <w:multiLevelType w:val="hybridMultilevel"/>
    <w:tmpl w:val="F7DEC716"/>
    <w:lvl w:ilvl="0" w:tplc="8F0C69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8334D86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3576"/>
    <w:multiLevelType w:val="hybridMultilevel"/>
    <w:tmpl w:val="F2D0D9F4"/>
    <w:lvl w:ilvl="0" w:tplc="22DA4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7A645C"/>
    <w:multiLevelType w:val="hybridMultilevel"/>
    <w:tmpl w:val="3E243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80B14"/>
    <w:multiLevelType w:val="hybridMultilevel"/>
    <w:tmpl w:val="5B08B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85E82"/>
    <w:multiLevelType w:val="hybridMultilevel"/>
    <w:tmpl w:val="C566815E"/>
    <w:lvl w:ilvl="0" w:tplc="8F0C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7E87"/>
    <w:multiLevelType w:val="hybridMultilevel"/>
    <w:tmpl w:val="CFD6FF6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92501"/>
    <w:multiLevelType w:val="hybridMultilevel"/>
    <w:tmpl w:val="AE183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C0AC6"/>
    <w:multiLevelType w:val="hybridMultilevel"/>
    <w:tmpl w:val="7EECB8CC"/>
    <w:lvl w:ilvl="0" w:tplc="F382706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D61CF"/>
    <w:multiLevelType w:val="hybridMultilevel"/>
    <w:tmpl w:val="8D3837EC"/>
    <w:lvl w:ilvl="0" w:tplc="E14A72F4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69AE0F99"/>
    <w:multiLevelType w:val="hybridMultilevel"/>
    <w:tmpl w:val="E73EC60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A844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A22B1"/>
    <w:multiLevelType w:val="hybridMultilevel"/>
    <w:tmpl w:val="516E6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1290"/>
    <w:multiLevelType w:val="hybridMultilevel"/>
    <w:tmpl w:val="7E7A895C"/>
    <w:lvl w:ilvl="0" w:tplc="CA9A099A">
      <w:start w:val="14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896E1B"/>
    <w:multiLevelType w:val="hybridMultilevel"/>
    <w:tmpl w:val="553A1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1"/>
  </w:num>
  <w:num w:numId="18">
    <w:abstractNumId w:val="3"/>
  </w:num>
  <w:num w:numId="19">
    <w:abstractNumId w:val="24"/>
  </w:num>
  <w:num w:numId="20">
    <w:abstractNumId w:val="26"/>
  </w:num>
  <w:num w:numId="21">
    <w:abstractNumId w:val="16"/>
  </w:num>
  <w:num w:numId="22">
    <w:abstractNumId w:val="20"/>
  </w:num>
  <w:num w:numId="23">
    <w:abstractNumId w:val="0"/>
  </w:num>
  <w:num w:numId="24">
    <w:abstractNumId w:val="6"/>
  </w:num>
  <w:num w:numId="25">
    <w:abstractNumId w:val="12"/>
  </w:num>
  <w:num w:numId="26">
    <w:abstractNumId w:val="2"/>
  </w:num>
  <w:num w:numId="27">
    <w:abstractNumId w:val="10"/>
  </w:num>
  <w:num w:numId="28">
    <w:abstractNumId w:val="21"/>
  </w:num>
  <w:num w:numId="29">
    <w:abstractNumId w:val="7"/>
  </w:num>
  <w:num w:numId="30">
    <w:abstractNumId w:val="18"/>
  </w:num>
  <w:num w:numId="31">
    <w:abstractNumId w:val="13"/>
  </w:num>
  <w:num w:numId="32">
    <w:abstractNumId w:val="5"/>
  </w:num>
  <w:num w:numId="33">
    <w:abstractNumId w:val="1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5"/>
    <w:rsid w:val="000176A6"/>
    <w:rsid w:val="000500AB"/>
    <w:rsid w:val="000757BD"/>
    <w:rsid w:val="00076737"/>
    <w:rsid w:val="0009514E"/>
    <w:rsid w:val="000967F5"/>
    <w:rsid w:val="000A57B3"/>
    <w:rsid w:val="000C10F5"/>
    <w:rsid w:val="000C4740"/>
    <w:rsid w:val="000D5037"/>
    <w:rsid w:val="000F6398"/>
    <w:rsid w:val="001107C5"/>
    <w:rsid w:val="001270A8"/>
    <w:rsid w:val="001358B0"/>
    <w:rsid w:val="00136E83"/>
    <w:rsid w:val="00142C4C"/>
    <w:rsid w:val="00151C9C"/>
    <w:rsid w:val="001609C0"/>
    <w:rsid w:val="001614D1"/>
    <w:rsid w:val="00173956"/>
    <w:rsid w:val="00175277"/>
    <w:rsid w:val="0018460F"/>
    <w:rsid w:val="001862AD"/>
    <w:rsid w:val="001A25FF"/>
    <w:rsid w:val="001A4D13"/>
    <w:rsid w:val="001D31FE"/>
    <w:rsid w:val="001D75A6"/>
    <w:rsid w:val="001E0080"/>
    <w:rsid w:val="001E21C6"/>
    <w:rsid w:val="001E64CC"/>
    <w:rsid w:val="001E729E"/>
    <w:rsid w:val="001F2543"/>
    <w:rsid w:val="001F5F1B"/>
    <w:rsid w:val="00200ED1"/>
    <w:rsid w:val="002020E9"/>
    <w:rsid w:val="0021068E"/>
    <w:rsid w:val="0021146C"/>
    <w:rsid w:val="00211D57"/>
    <w:rsid w:val="00215677"/>
    <w:rsid w:val="00216BF0"/>
    <w:rsid w:val="002170B3"/>
    <w:rsid w:val="00220292"/>
    <w:rsid w:val="0022402F"/>
    <w:rsid w:val="002344E4"/>
    <w:rsid w:val="00241758"/>
    <w:rsid w:val="00253FBE"/>
    <w:rsid w:val="00280777"/>
    <w:rsid w:val="00285E02"/>
    <w:rsid w:val="002906B6"/>
    <w:rsid w:val="00292362"/>
    <w:rsid w:val="00295F08"/>
    <w:rsid w:val="00296D6D"/>
    <w:rsid w:val="002A4085"/>
    <w:rsid w:val="002B62DF"/>
    <w:rsid w:val="002B7721"/>
    <w:rsid w:val="002E1D2C"/>
    <w:rsid w:val="002E7127"/>
    <w:rsid w:val="00307F79"/>
    <w:rsid w:val="003104DD"/>
    <w:rsid w:val="00313EC4"/>
    <w:rsid w:val="003171EA"/>
    <w:rsid w:val="00335AAC"/>
    <w:rsid w:val="0034425C"/>
    <w:rsid w:val="003552AA"/>
    <w:rsid w:val="0037007C"/>
    <w:rsid w:val="00371E3F"/>
    <w:rsid w:val="00373A41"/>
    <w:rsid w:val="00381AD4"/>
    <w:rsid w:val="00387585"/>
    <w:rsid w:val="0039149C"/>
    <w:rsid w:val="00391D38"/>
    <w:rsid w:val="003930E4"/>
    <w:rsid w:val="003932A6"/>
    <w:rsid w:val="003A450B"/>
    <w:rsid w:val="003B32D6"/>
    <w:rsid w:val="003C305A"/>
    <w:rsid w:val="003D3003"/>
    <w:rsid w:val="003D46F5"/>
    <w:rsid w:val="003D54D8"/>
    <w:rsid w:val="003F1FC7"/>
    <w:rsid w:val="003F3BAD"/>
    <w:rsid w:val="003F49BE"/>
    <w:rsid w:val="003F7040"/>
    <w:rsid w:val="00402A72"/>
    <w:rsid w:val="00402CD1"/>
    <w:rsid w:val="00406C10"/>
    <w:rsid w:val="00415BF7"/>
    <w:rsid w:val="00415E5D"/>
    <w:rsid w:val="0043320D"/>
    <w:rsid w:val="00441C37"/>
    <w:rsid w:val="0045174E"/>
    <w:rsid w:val="00455873"/>
    <w:rsid w:val="00455941"/>
    <w:rsid w:val="00474DDA"/>
    <w:rsid w:val="0047545D"/>
    <w:rsid w:val="004844AA"/>
    <w:rsid w:val="004920BB"/>
    <w:rsid w:val="004A2699"/>
    <w:rsid w:val="004A4DBA"/>
    <w:rsid w:val="004C1E35"/>
    <w:rsid w:val="004C2659"/>
    <w:rsid w:val="004C67F5"/>
    <w:rsid w:val="004D5C57"/>
    <w:rsid w:val="004E3975"/>
    <w:rsid w:val="004F3631"/>
    <w:rsid w:val="00503793"/>
    <w:rsid w:val="00503D75"/>
    <w:rsid w:val="00506F04"/>
    <w:rsid w:val="005134B2"/>
    <w:rsid w:val="00514027"/>
    <w:rsid w:val="00516AD3"/>
    <w:rsid w:val="005264A9"/>
    <w:rsid w:val="00533BAA"/>
    <w:rsid w:val="005436E4"/>
    <w:rsid w:val="00551F36"/>
    <w:rsid w:val="0055782E"/>
    <w:rsid w:val="00560764"/>
    <w:rsid w:val="005635E5"/>
    <w:rsid w:val="005657BC"/>
    <w:rsid w:val="0056734E"/>
    <w:rsid w:val="005705A1"/>
    <w:rsid w:val="005829A9"/>
    <w:rsid w:val="005840B8"/>
    <w:rsid w:val="00590C77"/>
    <w:rsid w:val="005A0AF7"/>
    <w:rsid w:val="005B58D8"/>
    <w:rsid w:val="005C0EAD"/>
    <w:rsid w:val="005C3EEF"/>
    <w:rsid w:val="005C6281"/>
    <w:rsid w:val="005D2C62"/>
    <w:rsid w:val="005F4778"/>
    <w:rsid w:val="005F5856"/>
    <w:rsid w:val="00601392"/>
    <w:rsid w:val="00604A72"/>
    <w:rsid w:val="00610743"/>
    <w:rsid w:val="00611E0A"/>
    <w:rsid w:val="0061263C"/>
    <w:rsid w:val="00621BA7"/>
    <w:rsid w:val="00625AA3"/>
    <w:rsid w:val="006321D0"/>
    <w:rsid w:val="006354F4"/>
    <w:rsid w:val="00641B28"/>
    <w:rsid w:val="00646208"/>
    <w:rsid w:val="00651DAE"/>
    <w:rsid w:val="0066365E"/>
    <w:rsid w:val="0066537C"/>
    <w:rsid w:val="006737EE"/>
    <w:rsid w:val="006766B5"/>
    <w:rsid w:val="0068364C"/>
    <w:rsid w:val="00685100"/>
    <w:rsid w:val="00691468"/>
    <w:rsid w:val="006951C0"/>
    <w:rsid w:val="006A106C"/>
    <w:rsid w:val="006A14E2"/>
    <w:rsid w:val="006A3597"/>
    <w:rsid w:val="006B496F"/>
    <w:rsid w:val="006D158D"/>
    <w:rsid w:val="006D3772"/>
    <w:rsid w:val="006D5789"/>
    <w:rsid w:val="006E6591"/>
    <w:rsid w:val="007023BD"/>
    <w:rsid w:val="00710634"/>
    <w:rsid w:val="00711833"/>
    <w:rsid w:val="007131C5"/>
    <w:rsid w:val="0072189D"/>
    <w:rsid w:val="007224EA"/>
    <w:rsid w:val="00730529"/>
    <w:rsid w:val="00732697"/>
    <w:rsid w:val="00746FC8"/>
    <w:rsid w:val="00753692"/>
    <w:rsid w:val="00754958"/>
    <w:rsid w:val="007635D5"/>
    <w:rsid w:val="00783B88"/>
    <w:rsid w:val="007916F7"/>
    <w:rsid w:val="0079312B"/>
    <w:rsid w:val="00797881"/>
    <w:rsid w:val="007A57EA"/>
    <w:rsid w:val="007B0B78"/>
    <w:rsid w:val="007B6B07"/>
    <w:rsid w:val="007D2F09"/>
    <w:rsid w:val="007D4D93"/>
    <w:rsid w:val="007D712B"/>
    <w:rsid w:val="007E0769"/>
    <w:rsid w:val="007E0C6C"/>
    <w:rsid w:val="007E2FAD"/>
    <w:rsid w:val="007F24E7"/>
    <w:rsid w:val="008131CD"/>
    <w:rsid w:val="00821DE4"/>
    <w:rsid w:val="0082580B"/>
    <w:rsid w:val="00831FEA"/>
    <w:rsid w:val="00846506"/>
    <w:rsid w:val="008469DB"/>
    <w:rsid w:val="00862C83"/>
    <w:rsid w:val="00864AA9"/>
    <w:rsid w:val="00866586"/>
    <w:rsid w:val="008742FD"/>
    <w:rsid w:val="008B0D91"/>
    <w:rsid w:val="008C3BBC"/>
    <w:rsid w:val="008C3DBA"/>
    <w:rsid w:val="008C4DCB"/>
    <w:rsid w:val="008C5E5B"/>
    <w:rsid w:val="008C739C"/>
    <w:rsid w:val="008C7613"/>
    <w:rsid w:val="008E55CF"/>
    <w:rsid w:val="008F2687"/>
    <w:rsid w:val="00904B14"/>
    <w:rsid w:val="00906B24"/>
    <w:rsid w:val="0091199E"/>
    <w:rsid w:val="009129B9"/>
    <w:rsid w:val="00915D55"/>
    <w:rsid w:val="00924CE8"/>
    <w:rsid w:val="00944A83"/>
    <w:rsid w:val="009471B6"/>
    <w:rsid w:val="00950F36"/>
    <w:rsid w:val="00971CB6"/>
    <w:rsid w:val="00972D8E"/>
    <w:rsid w:val="0097653D"/>
    <w:rsid w:val="0098092D"/>
    <w:rsid w:val="00994553"/>
    <w:rsid w:val="0099746D"/>
    <w:rsid w:val="009A521F"/>
    <w:rsid w:val="009A611B"/>
    <w:rsid w:val="009A675C"/>
    <w:rsid w:val="009B0AD1"/>
    <w:rsid w:val="009B430C"/>
    <w:rsid w:val="009B7425"/>
    <w:rsid w:val="009D0DE1"/>
    <w:rsid w:val="009D22BD"/>
    <w:rsid w:val="009D72CE"/>
    <w:rsid w:val="00A00945"/>
    <w:rsid w:val="00A1097D"/>
    <w:rsid w:val="00A12752"/>
    <w:rsid w:val="00A204A3"/>
    <w:rsid w:val="00A20D57"/>
    <w:rsid w:val="00A2503A"/>
    <w:rsid w:val="00A25845"/>
    <w:rsid w:val="00A26D5E"/>
    <w:rsid w:val="00A30FB5"/>
    <w:rsid w:val="00A337D3"/>
    <w:rsid w:val="00A400ED"/>
    <w:rsid w:val="00A475AA"/>
    <w:rsid w:val="00A479C7"/>
    <w:rsid w:val="00A77D5A"/>
    <w:rsid w:val="00A93EF6"/>
    <w:rsid w:val="00AA01BC"/>
    <w:rsid w:val="00AB6AC4"/>
    <w:rsid w:val="00AC0FBF"/>
    <w:rsid w:val="00AD5942"/>
    <w:rsid w:val="00AE01BA"/>
    <w:rsid w:val="00AF04B7"/>
    <w:rsid w:val="00AF07F2"/>
    <w:rsid w:val="00AF0A71"/>
    <w:rsid w:val="00B019F2"/>
    <w:rsid w:val="00B049B1"/>
    <w:rsid w:val="00B05FF4"/>
    <w:rsid w:val="00B06850"/>
    <w:rsid w:val="00B124B7"/>
    <w:rsid w:val="00B216DB"/>
    <w:rsid w:val="00B23C0C"/>
    <w:rsid w:val="00B34EFD"/>
    <w:rsid w:val="00B367F1"/>
    <w:rsid w:val="00B56954"/>
    <w:rsid w:val="00B6098A"/>
    <w:rsid w:val="00B7495E"/>
    <w:rsid w:val="00B766D5"/>
    <w:rsid w:val="00B7782F"/>
    <w:rsid w:val="00B8267B"/>
    <w:rsid w:val="00B873F8"/>
    <w:rsid w:val="00B94A5A"/>
    <w:rsid w:val="00B94C1B"/>
    <w:rsid w:val="00B9644D"/>
    <w:rsid w:val="00BA6E4B"/>
    <w:rsid w:val="00BC0CFC"/>
    <w:rsid w:val="00BC20B7"/>
    <w:rsid w:val="00BF08C1"/>
    <w:rsid w:val="00BF3AEB"/>
    <w:rsid w:val="00C123D6"/>
    <w:rsid w:val="00C12D1E"/>
    <w:rsid w:val="00C15FFE"/>
    <w:rsid w:val="00C24A55"/>
    <w:rsid w:val="00C46A3D"/>
    <w:rsid w:val="00C473D8"/>
    <w:rsid w:val="00C54CD3"/>
    <w:rsid w:val="00C560AE"/>
    <w:rsid w:val="00C70F2E"/>
    <w:rsid w:val="00C71A62"/>
    <w:rsid w:val="00C944B7"/>
    <w:rsid w:val="00CA07BE"/>
    <w:rsid w:val="00CA431D"/>
    <w:rsid w:val="00CB076F"/>
    <w:rsid w:val="00CC1082"/>
    <w:rsid w:val="00CD1389"/>
    <w:rsid w:val="00CE68A4"/>
    <w:rsid w:val="00D10C06"/>
    <w:rsid w:val="00D30350"/>
    <w:rsid w:val="00D30774"/>
    <w:rsid w:val="00D31CFA"/>
    <w:rsid w:val="00D42B07"/>
    <w:rsid w:val="00D4472A"/>
    <w:rsid w:val="00D44842"/>
    <w:rsid w:val="00D4519F"/>
    <w:rsid w:val="00D46521"/>
    <w:rsid w:val="00D4786E"/>
    <w:rsid w:val="00D50F12"/>
    <w:rsid w:val="00D545B3"/>
    <w:rsid w:val="00D713F0"/>
    <w:rsid w:val="00D7364A"/>
    <w:rsid w:val="00D87344"/>
    <w:rsid w:val="00D9405A"/>
    <w:rsid w:val="00D96CB0"/>
    <w:rsid w:val="00DA19EA"/>
    <w:rsid w:val="00DA2F38"/>
    <w:rsid w:val="00DA5FD5"/>
    <w:rsid w:val="00DC0F32"/>
    <w:rsid w:val="00DC0FBD"/>
    <w:rsid w:val="00DC2D18"/>
    <w:rsid w:val="00DC5028"/>
    <w:rsid w:val="00DE3170"/>
    <w:rsid w:val="00DF4455"/>
    <w:rsid w:val="00E156AD"/>
    <w:rsid w:val="00E23A6B"/>
    <w:rsid w:val="00E32FDB"/>
    <w:rsid w:val="00E35A85"/>
    <w:rsid w:val="00E4019A"/>
    <w:rsid w:val="00E41B18"/>
    <w:rsid w:val="00E55233"/>
    <w:rsid w:val="00E575F6"/>
    <w:rsid w:val="00E6417D"/>
    <w:rsid w:val="00E70E8B"/>
    <w:rsid w:val="00E82C77"/>
    <w:rsid w:val="00E84845"/>
    <w:rsid w:val="00EA0BD3"/>
    <w:rsid w:val="00EB1A09"/>
    <w:rsid w:val="00EC150C"/>
    <w:rsid w:val="00EC47D5"/>
    <w:rsid w:val="00ED2ACA"/>
    <w:rsid w:val="00ED470F"/>
    <w:rsid w:val="00EE13C1"/>
    <w:rsid w:val="00EE4A92"/>
    <w:rsid w:val="00EE7711"/>
    <w:rsid w:val="00F01194"/>
    <w:rsid w:val="00F01F2A"/>
    <w:rsid w:val="00F114A2"/>
    <w:rsid w:val="00F42776"/>
    <w:rsid w:val="00F67512"/>
    <w:rsid w:val="00F709CA"/>
    <w:rsid w:val="00F71BC5"/>
    <w:rsid w:val="00F74CCB"/>
    <w:rsid w:val="00F866C1"/>
    <w:rsid w:val="00F92387"/>
    <w:rsid w:val="00FA3658"/>
    <w:rsid w:val="00FA4E73"/>
    <w:rsid w:val="00FA76BC"/>
    <w:rsid w:val="00FB1B2A"/>
    <w:rsid w:val="00FC6F4D"/>
    <w:rsid w:val="00FD3490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431CD81C"/>
  <w15:docId w15:val="{375BEE4E-673B-4C8A-A4D9-E0B4A07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0F"/>
  </w:style>
  <w:style w:type="paragraph" w:styleId="Nagwek1">
    <w:name w:val="heading 1"/>
    <w:basedOn w:val="Normalny"/>
    <w:next w:val="Normalny"/>
    <w:link w:val="Nagwek1Znak"/>
    <w:uiPriority w:val="9"/>
    <w:qFormat/>
    <w:rsid w:val="005C6281"/>
    <w:pPr>
      <w:keepNext/>
      <w:keepLines/>
      <w:spacing w:after="0" w:line="240" w:lineRule="auto"/>
      <w:jc w:val="both"/>
      <w:outlineLvl w:val="0"/>
    </w:pPr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6281"/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5C62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6281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5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C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2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81"/>
    <w:pPr>
      <w:spacing w:after="0" w:line="240" w:lineRule="auto"/>
      <w:jc w:val="both"/>
    </w:pPr>
    <w:rPr>
      <w:rFonts w:ascii="Calibri" w:eastAsia="Calibri" w:hAnsi="Calibri" w:cs="Times New Roman"/>
      <w:color w:val="1D1D1D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81"/>
    <w:rPr>
      <w:rFonts w:ascii="Calibri" w:eastAsia="Calibri" w:hAnsi="Calibri" w:cs="Times New Roman"/>
      <w:color w:val="1D1D1D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5C6281"/>
    <w:pPr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28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81"/>
    <w:rPr>
      <w:rFonts w:ascii="Calibri" w:eastAsia="Calibri" w:hAnsi="Calibri" w:cs="Times New Roman"/>
      <w:b/>
      <w:bCs/>
      <w:color w:val="1D1D1D"/>
      <w:sz w:val="20"/>
      <w:szCs w:val="20"/>
      <w:lang w:val="x-none"/>
    </w:rPr>
  </w:style>
  <w:style w:type="paragraph" w:styleId="Bezodstpw">
    <w:name w:val="No Spacing"/>
    <w:uiPriority w:val="1"/>
    <w:qFormat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paragraph" w:styleId="Poprawka">
    <w:name w:val="Revision"/>
    <w:uiPriority w:val="71"/>
    <w:semiHidden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C6281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5C6281"/>
    <w:pPr>
      <w:ind w:left="720"/>
      <w:contextualSpacing/>
    </w:pPr>
    <w:rPr>
      <w:lang w:val="x-none"/>
    </w:rPr>
  </w:style>
  <w:style w:type="character" w:customStyle="1" w:styleId="StopkadfrZnak">
    <w:name w:val="Stopka dfr Znak"/>
    <w:link w:val="Stopkadfr"/>
    <w:locked/>
    <w:rsid w:val="005C6281"/>
    <w:rPr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5C6281"/>
    <w:pPr>
      <w:spacing w:after="0" w:line="240" w:lineRule="auto"/>
    </w:pPr>
    <w:rPr>
      <w:color w:val="1D1D1D"/>
      <w:sz w:val="16"/>
      <w:szCs w:val="16"/>
    </w:rPr>
  </w:style>
  <w:style w:type="character" w:customStyle="1" w:styleId="TextpolewejZnak">
    <w:name w:val="Text po lewej Znak"/>
    <w:link w:val="Textpolewej"/>
    <w:locked/>
    <w:rsid w:val="005C6281"/>
    <w:rPr>
      <w:b/>
      <w:color w:val="1D1D1D"/>
      <w:sz w:val="16"/>
      <w:szCs w:val="16"/>
    </w:rPr>
  </w:style>
  <w:style w:type="paragraph" w:customStyle="1" w:styleId="Textpolewej">
    <w:name w:val="Text po lewej"/>
    <w:link w:val="TextpolewejZnak"/>
    <w:qFormat/>
    <w:rsid w:val="005C6281"/>
    <w:pPr>
      <w:spacing w:after="0" w:line="240" w:lineRule="auto"/>
    </w:pPr>
    <w:rPr>
      <w:b/>
      <w:color w:val="1D1D1D"/>
      <w:sz w:val="16"/>
      <w:szCs w:val="16"/>
    </w:rPr>
  </w:style>
  <w:style w:type="paragraph" w:customStyle="1" w:styleId="Opis1">
    <w:name w:val="Opis1"/>
    <w:basedOn w:val="Normalny"/>
    <w:uiPriority w:val="99"/>
    <w:rsid w:val="005C6281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5C6281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5C6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C628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C6281"/>
    <w:rPr>
      <w:sz w:val="16"/>
      <w:szCs w:val="16"/>
    </w:rPr>
  </w:style>
  <w:style w:type="table" w:styleId="Tabela-Siatka">
    <w:name w:val="Table Grid"/>
    <w:basedOn w:val="Standardowy"/>
    <w:uiPriority w:val="59"/>
    <w:rsid w:val="005C62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532A-84CA-4004-BDEA-C78A6C03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1537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Anna Juszczak-Wątor</cp:lastModifiedBy>
  <cp:revision>16</cp:revision>
  <cp:lastPrinted>2021-06-11T12:30:00Z</cp:lastPrinted>
  <dcterms:created xsi:type="dcterms:W3CDTF">2022-04-13T10:52:00Z</dcterms:created>
  <dcterms:modified xsi:type="dcterms:W3CDTF">2022-04-25T12:41:00Z</dcterms:modified>
</cp:coreProperties>
</file>