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8D65" w14:textId="77777777" w:rsidR="009C2D6C" w:rsidRDefault="009C2D6C" w:rsidP="009C2D6C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14:paraId="13150834" w14:textId="77777777" w:rsidR="009C2D6C" w:rsidRDefault="009C2D6C" w:rsidP="009C2D6C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8E86252" w14:textId="77777777" w:rsidR="009C2D6C" w:rsidRDefault="009C2D6C" w:rsidP="009C2D6C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Obligatoryjne zabezpieczenie:</w:t>
      </w:r>
    </w:p>
    <w:p w14:paraId="7610BCCD" w14:textId="77777777" w:rsidR="009C2D6C" w:rsidRDefault="009C2D6C" w:rsidP="009C2D6C">
      <w:pPr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7B27FC94" w14:textId="77777777" w:rsidR="009C2D6C" w:rsidRDefault="009C2D6C" w:rsidP="009C2D6C">
      <w:pPr>
        <w:pStyle w:val="Akapitzlist"/>
        <w:numPr>
          <w:ilvl w:val="0"/>
          <w:numId w:val="1"/>
        </w:numPr>
        <w:ind w:right="397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WEKSEL IN BLANCO LUB PODDANIE SIĘ EGZEKUCJI W TRYBIE ART. </w:t>
      </w:r>
      <w:r>
        <w:rPr>
          <w:rFonts w:eastAsia="Times New Roman" w:cs="Times New Roman"/>
          <w:b/>
          <w:bCs/>
          <w:iCs/>
        </w:rPr>
        <w:t xml:space="preserve">777 § 1 PKT 4-6 K.P.C. </w:t>
      </w:r>
    </w:p>
    <w:p w14:paraId="4811C090" w14:textId="77777777" w:rsidR="009C2D6C" w:rsidRDefault="009C2D6C" w:rsidP="009C2D6C">
      <w:pPr>
        <w:ind w:left="397" w:right="397"/>
        <w:jc w:val="both"/>
        <w:rPr>
          <w:rFonts w:ascii="Calibri" w:eastAsia="Calibri" w:hAnsi="Calibri" w:cs="Times New Roman"/>
          <w:bCs/>
          <w:lang w:eastAsia="hi-IN"/>
        </w:rPr>
      </w:pPr>
    </w:p>
    <w:p w14:paraId="6C152575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oraz co najmniej jedno z poniższych- w przypadku kwoty pożyczki  powyżej 20.000,00 PLN</w:t>
      </w:r>
      <w:r>
        <w:rPr>
          <w:rStyle w:val="Odwoanieprzypisudolnego"/>
          <w:rFonts w:eastAsia="Times New Roman" w:cs="Times New Roman"/>
          <w:iCs/>
        </w:rPr>
        <w:footnoteReference w:id="1"/>
      </w:r>
      <w:r>
        <w:rPr>
          <w:rFonts w:eastAsia="Times New Roman" w:cs="Times New Roman"/>
          <w:iCs/>
        </w:rPr>
        <w:t>:</w:t>
      </w:r>
    </w:p>
    <w:p w14:paraId="024AEED9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- poręczenie wekslowe lub cywilne osób trzecich;</w:t>
      </w:r>
    </w:p>
    <w:p w14:paraId="0FB99955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zastaw rejestrowy wraz z przelewem wierzytelności z umowy ubezpieczenia majątkowego; </w:t>
      </w:r>
    </w:p>
    <w:p w14:paraId="5E3C0295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przewłaszczenie wraz z przelewem wierzytelności z umowy ubezpieczenia majątkowego; </w:t>
      </w:r>
    </w:p>
    <w:p w14:paraId="3F3C0185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hipoteka na nieruchomości (ustanawianą notarialnie) wraz z cesją praw z polisy ubezpieczeniowej; </w:t>
      </w:r>
    </w:p>
    <w:p w14:paraId="7C131AAA" w14:textId="77777777" w:rsidR="009C2D6C" w:rsidRDefault="009C2D6C" w:rsidP="009C2D6C">
      <w:pPr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- inne zabezpieczenia (depozyt gwarancyjny lub blokada pieniężna, blokada jednostek w funduszach inwestycyjnych, gwarancja bankowa, pełnomocnictwo do dysponowania rachunkiem/ rachunkami bankowymi Pożyczkobiorcy).  </w:t>
      </w:r>
    </w:p>
    <w:p w14:paraId="03F2D350" w14:textId="77777777" w:rsidR="009C2D6C" w:rsidRDefault="009C2D6C" w:rsidP="009C2D6C">
      <w:pPr>
        <w:ind w:right="397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Ostateczna forma zabezpieczenia spłaty pożyczki ustalana jest indywidualnie i zależna jest od wyniku oceny ryzyka niespłacenia pożyczki  przez Pożyczkobiorcę i jego stanu majątkowego.</w:t>
      </w:r>
    </w:p>
    <w:p w14:paraId="15A158BD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69D618BC" w14:textId="77777777" w:rsidR="009C2D6C" w:rsidRDefault="009C2D6C" w:rsidP="009C2D6C">
      <w:pPr>
        <w:pStyle w:val="Akapitzlist"/>
        <w:numPr>
          <w:ilvl w:val="0"/>
          <w:numId w:val="1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14:paraId="557FC87A" w14:textId="77777777" w:rsidR="009C2D6C" w:rsidRDefault="009C2D6C" w:rsidP="009C2D6C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W przypadku pozostawania poręczyciela w związku małżeńskim, w którym wspólność  małżeńska nie została ograniczona ani wyłączona, wymagane jest poręczenie obojga małżonków.</w:t>
      </w:r>
    </w:p>
    <w:p w14:paraId="223AC48B" w14:textId="77777777" w:rsidR="009C2D6C" w:rsidRDefault="009C2D6C" w:rsidP="009C2D6C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Nie są akceptowane dochody poręczycieli osiągane poza granicami kraju.  </w:t>
      </w:r>
    </w:p>
    <w:p w14:paraId="4392C244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 Emeryta)</w:t>
      </w:r>
    </w:p>
    <w:p w14:paraId="70338643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kwestionariusz Poręczyciela</w:t>
      </w:r>
    </w:p>
    <w:p w14:paraId="03B2B733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decyzji o przyznaniu emerytury</w:t>
      </w:r>
    </w:p>
    <w:p w14:paraId="7A2AC091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14:paraId="552A7ED9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14:paraId="5A51348E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785A10BC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(Umowa o pracę)</w:t>
      </w:r>
    </w:p>
    <w:p w14:paraId="324104BE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14:paraId="035FBE06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14:paraId="0B09AD39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- wyciąg bankowy potwierdzający wpływ wynagrodzenia na rachunek</w:t>
      </w:r>
    </w:p>
    <w:p w14:paraId="0D470A4C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dokumentu tożsamości</w:t>
      </w:r>
    </w:p>
    <w:p w14:paraId="7962CDFD" w14:textId="77777777" w:rsidR="009C2D6C" w:rsidRDefault="009C2D6C" w:rsidP="009C2D6C">
      <w:pPr>
        <w:spacing w:after="0"/>
        <w:ind w:left="397" w:right="397"/>
        <w:rPr>
          <w:rFonts w:ascii="Calibri" w:eastAsia="Times New Roman" w:hAnsi="Calibri" w:cs="Times New Roman"/>
          <w:lang w:eastAsia="pl-PL"/>
        </w:rPr>
      </w:pPr>
    </w:p>
    <w:p w14:paraId="5E854E95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14:paraId="3B2484B8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>kwestionariusz poręczyciela</w:t>
      </w:r>
    </w:p>
    <w:p w14:paraId="0304517A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14:paraId="57B66580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</w:t>
      </w:r>
    </w:p>
    <w:p w14:paraId="0B60B17A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finansowe za bieżący rok (sprawozdania finansowe: bilans, rachunek zysków i strat lub zestawienie książki przychodów i rozchodów )</w:t>
      </w:r>
    </w:p>
    <w:p w14:paraId="178554DD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14:paraId="711556F5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5AB5E971" w14:textId="77777777" w:rsidR="009C2D6C" w:rsidRDefault="009C2D6C" w:rsidP="009C2D6C">
      <w:pPr>
        <w:ind w:left="397"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III. PORĘCZENIE WEKSLOWE OSOBY PRAWNEJ</w:t>
      </w:r>
    </w:p>
    <w:p w14:paraId="0FC97862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14:paraId="3F1C0365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14:paraId="30BB1195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14:paraId="139E5D72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>
        <w:rPr>
          <w:rFonts w:ascii="Calibri" w:eastAsia="Times New Roman" w:hAnsi="Calibri" w:cs="Times New Roman"/>
          <w:lang w:eastAsia="pl-PL"/>
        </w:rPr>
        <w:t>InfoMonitor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i KRD</w:t>
      </w:r>
    </w:p>
    <w:p w14:paraId="3D738980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o terminowości spłaty zobowiązań publiczno-prawnych (ZUS,US)- oświadczenie o posiadanych zobowiązań finansowych (ich wysokość , termin spłaty) wraz z informacją                        o terminowości ich obsługi</w:t>
      </w:r>
    </w:p>
    <w:p w14:paraId="146EB7FD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14:paraId="76951922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lang w:eastAsia="pl-PL"/>
        </w:rPr>
      </w:pPr>
    </w:p>
    <w:p w14:paraId="50F21E58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7382EC82" w14:textId="77777777" w:rsidR="009C2D6C" w:rsidRDefault="009C2D6C" w:rsidP="009C2D6C">
      <w:pPr>
        <w:pStyle w:val="Akapitzlist"/>
        <w:numPr>
          <w:ilvl w:val="0"/>
          <w:numId w:val="2"/>
        </w:numPr>
        <w:ind w:left="851" w:right="397" w:hanging="709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ZASTAW REJESTROWY WRAZ Z PRZELEWEM WIERZYTELNOŚCI Z UMOWY UBEZPIECZENIA MAJĄTKOWEGO  </w:t>
      </w:r>
    </w:p>
    <w:p w14:paraId="00B82F91" w14:textId="77777777" w:rsidR="009C2D6C" w:rsidRDefault="009C2D6C" w:rsidP="009C2D6C">
      <w:pPr>
        <w:ind w:left="1276" w:right="397" w:hanging="85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bCs/>
          <w:lang w:eastAsia="pl-PL"/>
        </w:rPr>
        <w:t xml:space="preserve"> Weryfikując i akceptując zabezpieczenie w postaci zastawu rejestrowego  na:  </w:t>
      </w:r>
    </w:p>
    <w:p w14:paraId="3505765D" w14:textId="77777777" w:rsidR="009C2D6C" w:rsidRDefault="009C2D6C" w:rsidP="009C2D6C">
      <w:pPr>
        <w:spacing w:after="0" w:line="240" w:lineRule="auto"/>
        <w:ind w:left="567" w:right="39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1)</w:t>
      </w:r>
      <w:r>
        <w:rPr>
          <w:rFonts w:ascii="Calibri" w:eastAsia="Times New Roman" w:hAnsi="Calibri" w:cs="Times New Roman"/>
          <w:bCs/>
          <w:lang w:eastAsia="pl-PL"/>
        </w:rPr>
        <w:tab/>
        <w:t>rzeczach oznaczonych co do tożsamości,</w:t>
      </w:r>
    </w:p>
    <w:p w14:paraId="2D9A9977" w14:textId="77777777" w:rsidR="009C2D6C" w:rsidRDefault="009C2D6C" w:rsidP="009C2D6C">
      <w:pPr>
        <w:spacing w:after="0" w:line="240" w:lineRule="auto"/>
        <w:ind w:left="567" w:right="39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2)</w:t>
      </w:r>
      <w:r>
        <w:rPr>
          <w:rFonts w:ascii="Calibri" w:eastAsia="Times New Roman" w:hAnsi="Calibri" w:cs="Times New Roman"/>
          <w:bCs/>
          <w:lang w:eastAsia="pl-PL"/>
        </w:rPr>
        <w:tab/>
        <w:t xml:space="preserve">wierzytelnościach pieniężnych wyrażonych w pieniądzu polskim lub walucie wymienialnej np. wierzytelności z rachunku bankowego, z akredytywy dokumentowej, z zastrzeżeniem, że FRW  z zachowaniem szczególnej ostrożności akceptuje zastaw rejestrowy na wierzytelności przyszłej lub warunkowej, </w:t>
      </w:r>
    </w:p>
    <w:p w14:paraId="1EFE3ABE" w14:textId="77777777" w:rsidR="009C2D6C" w:rsidRDefault="009C2D6C" w:rsidP="009C2D6C">
      <w:pPr>
        <w:spacing w:after="0" w:line="240" w:lineRule="auto"/>
        <w:ind w:left="567" w:right="397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3)</w:t>
      </w:r>
      <w:r>
        <w:rPr>
          <w:rFonts w:ascii="Calibri" w:eastAsia="Times New Roman" w:hAnsi="Calibri" w:cs="Times New Roman"/>
          <w:bCs/>
          <w:lang w:eastAsia="pl-PL"/>
        </w:rPr>
        <w:tab/>
        <w:t>prawach z papierów wartościowych, (np. z akcji, obligacji, bonów skarbowych, dowodów składowych), z wyłączeniem akcji i obligacji niedopuszczonych do publicznego obrotu</w:t>
      </w:r>
    </w:p>
    <w:p w14:paraId="1A205851" w14:textId="77777777" w:rsidR="009C2D6C" w:rsidRDefault="009C2D6C" w:rsidP="009C2D6C">
      <w:pPr>
        <w:spacing w:after="0" w:line="240" w:lineRule="auto"/>
        <w:ind w:left="567" w:right="397"/>
        <w:rPr>
          <w:rFonts w:ascii="Calibri" w:eastAsia="Times New Roman" w:hAnsi="Calibri" w:cs="Times New Roman"/>
          <w:bCs/>
          <w:lang w:eastAsia="pl-PL"/>
        </w:rPr>
      </w:pPr>
    </w:p>
    <w:p w14:paraId="65E8C99E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bierze pod uwagę w szczególności ich obecną wartość, potencjalną utratę wartości w czasie oraz płynność (możliwość odsprzedaży). Przedmiotem zastawu rejestrowego mogą być rzeczy lub prawa, które zastawca nabędzie w przyszłości (istniejące lub nieistniejące w chwili </w:t>
      </w:r>
      <w:r>
        <w:rPr>
          <w:rFonts w:ascii="Calibri" w:eastAsia="Times New Roman" w:hAnsi="Calibri" w:cs="Times New Roman"/>
          <w:lang w:eastAsia="pl-PL"/>
        </w:rPr>
        <w:lastRenderedPageBreak/>
        <w:t xml:space="preserve">ustanawiania zastawu) jednakże obciążenie tych rzeczy lub praw zastawem rejestrowym staje się skuteczne z chwilą ich nabycia przez zastawcę. Przedmiotem zastawu rejestrowego są rzeczy przyszłe w przypadku, gdy do chwili wpisania zastawu rejestrowego do rejestru zastawów ustanawiane jest na rzecz FRW przewłaszczenie rzeczy, które mają być przedmiotem tego zastawu. W przypadku, gdy docelowym zabezpieczeniem ma być zastaw rejestrowy, FRW akceptuje przewłaszczenie jako zabezpieczenie przejściowe, ustanowione pod warunkiem rozwiązującym w postaci wpisania zastawu rejestrowego na przedmiocie przewłaszczenia do rejestru zastawów. </w:t>
      </w:r>
    </w:p>
    <w:p w14:paraId="2E8B9EB5" w14:textId="77777777" w:rsidR="009C2D6C" w:rsidRDefault="009C2D6C" w:rsidP="009C2D6C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Warunkiem przyjęcia przez FRW zabezpieczenia w postaci zastawu rejestrowego na rzeczach ruchomych </w:t>
      </w:r>
    </w:p>
    <w:p w14:paraId="3D5461EB" w14:textId="77777777" w:rsidR="009C2D6C" w:rsidRDefault="009C2D6C" w:rsidP="009C2D6C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jest przelew na rzecz FRW wierzytelności z umowy ubezpieczenia majątkowego przedmiotu zastawu. </w:t>
      </w:r>
    </w:p>
    <w:p w14:paraId="693D37E1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W razie ustanowienia zastawu rejestrowego na pojeździe mechanicznym podlegającym rejestracji, zastaw ten zostanie również odnotowany w dowodzie rejestracyjnym pojazdu</w:t>
      </w:r>
    </w:p>
    <w:p w14:paraId="6C95A5D3" w14:textId="77777777" w:rsidR="009C2D6C" w:rsidRDefault="009C2D6C" w:rsidP="009C2D6C">
      <w:pPr>
        <w:ind w:left="567" w:right="397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Dokumenty: </w:t>
      </w:r>
    </w:p>
    <w:p w14:paraId="44078FDB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polisa ubezpieczeniowa wystawiona przez ubezpieczyciela– w przypadku rzeczy ruchomych, dla których wymagane jest ubezpieczenia majątkowe, lub</w:t>
      </w:r>
    </w:p>
    <w:p w14:paraId="7126964D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faktury, umowy handlowe realizowane w ramach prowadzonej przez Wnioskodawcę z tytułu zabezpieczenia działalności gospodarczej, wystawione/zawarte nie wcześniej niż 12 miesięcy przed złożeniem wniosku pożyczkowego, lub</w:t>
      </w:r>
    </w:p>
    <w:p w14:paraId="70610EB1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pisemne umowy przenoszące prawo własności, np. sprzedaży, zamiany, darowizny, zawarte nie wcześniej niż 12 miesięcy przed złożeniem wniosku pożyczkowego, lub </w:t>
      </w:r>
    </w:p>
    <w:p w14:paraId="567D8CEB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oferta kupna/sprzedaży środków trwałych (faktura pro forma/ oferta handlowa) w przypadku zastawu rejestrowego na przewidzianych do zakupu środków trwałych, lub</w:t>
      </w:r>
    </w:p>
    <w:p w14:paraId="2993ED83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ewidencja środków trwałych i dokumenty potwierdzające nabycie środków trwałych (faktury/rachunki) w przypadku zastawu rejestrowego ustanawianego na już posiadanych środkach trwałych, </w:t>
      </w:r>
    </w:p>
    <w:p w14:paraId="2B0B81C6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kopia dowodu rejestracyjnego w przypadku zastawu rejestrowego na  pojeździe podlegającym rejestracji w Wydziale Komunikacji; </w:t>
      </w:r>
    </w:p>
    <w:p w14:paraId="737E51D5" w14:textId="77777777" w:rsidR="009C2D6C" w:rsidRDefault="009C2D6C" w:rsidP="009C2D6C">
      <w:pPr>
        <w:ind w:left="56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zaświadczenia, potwierdzające, że przedmiot zastawu nie został obciążony zastawem rejestrowym i zastawem skarbowym oraz, że nie toczy się postępowanie o jego wpis do rejestru zastawów. </w:t>
      </w:r>
    </w:p>
    <w:p w14:paraId="50164E77" w14:textId="77777777" w:rsidR="009C2D6C" w:rsidRDefault="009C2D6C" w:rsidP="009C2D6C">
      <w:pPr>
        <w:spacing w:after="0" w:line="240" w:lineRule="auto"/>
        <w:ind w:left="56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Nie wymaga się przedłożenia:</w:t>
      </w:r>
    </w:p>
    <w:p w14:paraId="02CD0F44" w14:textId="77777777" w:rsidR="009C2D6C" w:rsidRDefault="009C2D6C" w:rsidP="009C2D6C">
      <w:pPr>
        <w:pStyle w:val="Akapitzlist"/>
        <w:numPr>
          <w:ilvl w:val="0"/>
          <w:numId w:val="3"/>
        </w:numPr>
        <w:spacing w:after="0" w:line="240" w:lineRule="auto"/>
        <w:ind w:left="56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zaświadczenia z Centralnej Informacji o Zastawach Rejestrowych – w przypadku, gdy przedmiotem zastawu ma/mają być rzecz/y ruchoma/e nabywana/e na rynku pierwotnym,</w:t>
      </w:r>
    </w:p>
    <w:p w14:paraId="0FCF43A0" w14:textId="77777777" w:rsidR="009C2D6C" w:rsidRDefault="009C2D6C" w:rsidP="009C2D6C">
      <w:pPr>
        <w:pStyle w:val="Akapitzlist"/>
        <w:numPr>
          <w:ilvl w:val="0"/>
          <w:numId w:val="3"/>
        </w:numPr>
        <w:spacing w:after="0" w:line="240" w:lineRule="auto"/>
        <w:ind w:left="567"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wypisu z Centralnego Rejestru Zastawów Skarbowych - w przypadku gdy dłużnik z tytułu zabezpieczenia przedłoży w FRW zaświadczenie właściwego organu o niezaleganiu z płatnością w podatkach oraz w składek do ZUS. </w:t>
      </w:r>
    </w:p>
    <w:p w14:paraId="1D621324" w14:textId="3E8C564D" w:rsidR="009C2D6C" w:rsidRDefault="009C2D6C" w:rsidP="009C2D6C">
      <w:pPr>
        <w:ind w:right="397"/>
        <w:rPr>
          <w:rFonts w:ascii="Calibri" w:eastAsia="Times New Roman" w:hAnsi="Calibri" w:cs="Times New Roman"/>
          <w:lang w:eastAsia="pl-PL"/>
        </w:rPr>
      </w:pPr>
    </w:p>
    <w:p w14:paraId="28D7A064" w14:textId="7330DCB0" w:rsidR="009C2D6C" w:rsidRDefault="009C2D6C" w:rsidP="009C2D6C">
      <w:pPr>
        <w:ind w:right="397"/>
        <w:rPr>
          <w:rFonts w:ascii="Calibri" w:eastAsia="Times New Roman" w:hAnsi="Calibri" w:cs="Times New Roman"/>
          <w:lang w:eastAsia="pl-PL"/>
        </w:rPr>
      </w:pPr>
    </w:p>
    <w:p w14:paraId="348F4D44" w14:textId="77777777" w:rsidR="009C2D6C" w:rsidRDefault="009C2D6C" w:rsidP="009C2D6C">
      <w:pPr>
        <w:ind w:right="397"/>
        <w:rPr>
          <w:rFonts w:ascii="Calibri" w:eastAsia="Times New Roman" w:hAnsi="Calibri" w:cs="Times New Roman"/>
          <w:lang w:eastAsia="pl-PL"/>
        </w:rPr>
      </w:pPr>
    </w:p>
    <w:p w14:paraId="56851788" w14:textId="77777777" w:rsidR="009C2D6C" w:rsidRDefault="009C2D6C" w:rsidP="009C2D6C">
      <w:pPr>
        <w:pStyle w:val="Akapitzlist"/>
        <w:numPr>
          <w:ilvl w:val="0"/>
          <w:numId w:val="2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PRZEWŁASZCZENIE ŚRODKÓW TRWAŁYCH</w:t>
      </w:r>
    </w:p>
    <w:p w14:paraId="4AE492E0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Fundusz bierze pod uwagę w szczególności ich obecną wartość, potencjalną utratę wartości w czasie oraz płynność (możliwość odsprzedaży). Z zasady nie są akceptowane drobne środki </w:t>
      </w:r>
      <w:r>
        <w:rPr>
          <w:rFonts w:ascii="Calibri" w:eastAsia="Times New Roman" w:hAnsi="Calibri" w:cs="Times New Roman"/>
          <w:lang w:eastAsia="pl-PL"/>
        </w:rPr>
        <w:tab/>
        <w:t>trwałe w postaci wyposażenia, np.; meble, sprzęt komputerowy czy też wysoce specjalistyczne  środki trwałe, dla których nie istnieje rynek  wtórny, co ograniczałoby możliwość ich odsprzedaży.</w:t>
      </w:r>
    </w:p>
    <w:p w14:paraId="3DE36661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Weryfikacja wartości zabezpieczenia odbywa się na podstawie faktur / umów / aktów notarialnych zakupu, jeżeli są  to rzeczy nowo nabyte, wpisu do ewidencji środków trwałych, aktualnych wycen, polis ubezpieczenia.</w:t>
      </w:r>
    </w:p>
    <w:p w14:paraId="57DB6A42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u w:val="single"/>
          <w:lang w:eastAsia="pl-PL"/>
        </w:rPr>
        <w:t>Pożyczkobiorca zobowiązany jest do ubezpieczenia przewłaszczonych na rzecz FRW rzeczy i dokonania cesji praw z polisy na podstawie umowy cesji poświadczonej przez towarzystwo ubezpieczeniowe.</w:t>
      </w:r>
    </w:p>
    <w:p w14:paraId="178849B5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14:paraId="62807586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14:paraId="75298E89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14:paraId="564E1D72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Komunikacji,</w:t>
      </w:r>
    </w:p>
    <w:p w14:paraId="0DCC8C0A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zaświadczenia, potwierdzające, że przedmiot zastawu nie został obciążony zastawem rejestrowym i zastawem skarbowym oraz, że nie toczy się postępowanie o jego wpis do rejestru zastawów. </w:t>
      </w:r>
    </w:p>
    <w:p w14:paraId="7B250524" w14:textId="77777777" w:rsidR="009C2D6C" w:rsidRDefault="009C2D6C" w:rsidP="009C2D6C">
      <w:pPr>
        <w:spacing w:after="0" w:line="240" w:lineRule="auto"/>
        <w:ind w:right="397" w:firstLine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Nie wymaga się przedłożenia:</w:t>
      </w:r>
    </w:p>
    <w:p w14:paraId="5643280B" w14:textId="77777777" w:rsidR="009C2D6C" w:rsidRDefault="009C2D6C" w:rsidP="009C2D6C">
      <w:pPr>
        <w:pStyle w:val="Akapitzlist"/>
        <w:numPr>
          <w:ilvl w:val="0"/>
          <w:numId w:val="4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zaświadczenia z Centralnej Informacji o Zastawach Rejestrowych – w przypadku, gdy przedmiotem przewłaszczenia ma/mają być rzecz/y ruchoma/e nabywana/e na rynku pierwotnym,  </w:t>
      </w:r>
    </w:p>
    <w:p w14:paraId="69641279" w14:textId="77777777" w:rsidR="009C2D6C" w:rsidRDefault="009C2D6C" w:rsidP="009C2D6C">
      <w:pPr>
        <w:pStyle w:val="Akapitzlist"/>
        <w:numPr>
          <w:ilvl w:val="0"/>
          <w:numId w:val="4"/>
        </w:numPr>
        <w:spacing w:after="0" w:line="240" w:lineRule="auto"/>
        <w:ind w:right="397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wypisu z Centralnego Rejestru Zastawów Skarbowych - w przypadku gdy dłużnik z tytułu zabezpieczenia przedłoży w FRW zaświadczenie właściwego organu o niezaleganiu z płatnością w podatkach oraz w składek do ZUS. </w:t>
      </w:r>
    </w:p>
    <w:p w14:paraId="3F259C0D" w14:textId="77777777" w:rsidR="009C2D6C" w:rsidRDefault="009C2D6C" w:rsidP="009C2D6C">
      <w:pPr>
        <w:ind w:right="397"/>
        <w:rPr>
          <w:rFonts w:ascii="Calibri" w:eastAsia="Times New Roman" w:hAnsi="Calibri" w:cs="Times New Roman"/>
          <w:lang w:eastAsia="pl-PL"/>
        </w:rPr>
      </w:pPr>
    </w:p>
    <w:p w14:paraId="20E06E60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14:paraId="5CF70F92" w14:textId="77777777" w:rsidR="009C2D6C" w:rsidRDefault="009C2D6C" w:rsidP="009C2D6C">
      <w:pPr>
        <w:pStyle w:val="Akapitzlist"/>
        <w:numPr>
          <w:ilvl w:val="0"/>
          <w:numId w:val="2"/>
        </w:numPr>
        <w:ind w:right="397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14:paraId="0D1D44CF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Uwaga!</w:t>
      </w:r>
      <w:r>
        <w:rPr>
          <w:rFonts w:ascii="Calibri" w:eastAsia="Times New Roman" w:hAnsi="Calibri" w:cs="Times New Roman"/>
          <w:lang w:eastAsia="pl-PL"/>
        </w:rPr>
        <w:t xml:space="preserve"> Fundusz przyjmuje na zabezpieczenie nieruchomości użytkowe. W drodze wyjątku gdy Wnioskodawca posiada dwa lokale mieszkalne, a nieruchomość na zabezpieczenie nie jest </w:t>
      </w:r>
      <w:r>
        <w:rPr>
          <w:rFonts w:ascii="Calibri" w:eastAsia="Times New Roman" w:hAnsi="Calibri" w:cs="Times New Roman"/>
          <w:lang w:eastAsia="pl-PL"/>
        </w:rPr>
        <w:tab/>
        <w:t xml:space="preserve">przez niego zamieszkiwana Fundusz może ustanowić hipotekę na lokalu mieszkalnym. Ograniczeniom podlegają zabezpieczenia na nieruchomościach stanowiących grunty rolne. </w:t>
      </w:r>
    </w:p>
    <w:p w14:paraId="36E57AD6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Weryfikacja wartości nieruchomości odbywa się na podstawie operatu szacunkowego lub ustalonej ceny zakupu. W drodze wyjątku gdy wartość nieruchomości na zabezpieczenie jest </w:t>
      </w:r>
      <w:r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14:paraId="1CA64214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Ustanowienie hipoteki na nieruchomości odbywa się wyłącznie za pośrednictwem   notariusza, który składa wniosek do Wydziału Ksiąg Wieczystych w imieniu Pożyczkobiorcy. </w:t>
      </w:r>
    </w:p>
    <w:p w14:paraId="3141C70B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Środki z pożyczki mogą być uruchomione po ustanowieniu zabezpieczenia, tj. złożenia wniosku o wpis hipoteki do Księgi Wieczystej. W wyjątkowych przypadkach, gdy sprzedającym nieruchomość jest jednostka samorządu  terytorialnego, środki z pożyczki mogą być uruchomione przed złożeniem wniosku o wpis hipoteki. </w:t>
      </w:r>
    </w:p>
    <w:p w14:paraId="437DB94D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Dokumenty:</w:t>
      </w:r>
    </w:p>
    <w:p w14:paraId="493AA3AD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14:paraId="69A6027B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</w:t>
      </w:r>
      <w:proofErr w:type="spellStart"/>
      <w:r>
        <w:rPr>
          <w:rFonts w:ascii="Calibri" w:eastAsia="Times New Roman" w:hAnsi="Calibri" w:cs="Times New Roman"/>
          <w:lang w:eastAsia="pl-PL"/>
        </w:rPr>
        <w:t>wyrys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14:paraId="20BA1256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operat szacunkowy (konieczny gdy wartości nieruchomości nie można ustalić metodą porównawczą ponad wszelką wątpliwość) lub w przypadku wnioskowanej pożyczki o wartości równej lub wyższej kwocie 300.000,00 PLN. </w:t>
      </w:r>
    </w:p>
    <w:p w14:paraId="1D5E2511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u w:val="single"/>
          <w:lang w:eastAsia="pl-PL"/>
        </w:rPr>
        <w:t>FRW w przypadkach wymogu przedstawienia przez Wnioskodawcę operatu szacunkowego sporządzonego przez rzeczoznawcę majątkowego  w terminie do 12 miesięcy poprzedzających złożenie wniosku pożyczkowego.</w:t>
      </w:r>
    </w:p>
    <w:p w14:paraId="3FC0BD04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14:paraId="60201300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14:paraId="4985CAF4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14:paraId="2CC7D852" w14:textId="77777777" w:rsidR="009C2D6C" w:rsidRDefault="009C2D6C" w:rsidP="009C2D6C">
      <w:pPr>
        <w:ind w:right="397"/>
        <w:jc w:val="both"/>
        <w:rPr>
          <w:rFonts w:ascii="Calibri" w:eastAsia="Times New Roman" w:hAnsi="Calibri" w:cs="Times New Roman"/>
          <w:lang w:eastAsia="pl-PL"/>
        </w:rPr>
      </w:pPr>
    </w:p>
    <w:p w14:paraId="09C287ED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14:paraId="06E5432D" w14:textId="77777777" w:rsidR="009C2D6C" w:rsidRDefault="009C2D6C" w:rsidP="009C2D6C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14:paraId="244ED20B" w14:textId="77777777" w:rsidR="009C2D6C" w:rsidRDefault="009C2D6C" w:rsidP="009C2D6C">
      <w:pPr>
        <w:ind w:left="397" w:right="397"/>
        <w:rPr>
          <w:rFonts w:ascii="Calibri" w:eastAsia="Times New Roman" w:hAnsi="Calibri" w:cs="Times New Roman"/>
          <w:b/>
          <w:u w:val="single"/>
          <w:lang w:eastAsia="hi-IN"/>
        </w:rPr>
      </w:pPr>
      <w:r>
        <w:rPr>
          <w:rFonts w:ascii="Calibri" w:eastAsia="Times New Roman" w:hAnsi="Calibri" w:cs="Times New Roman"/>
          <w:b/>
          <w:u w:val="single"/>
        </w:rPr>
        <w:t xml:space="preserve">FRW NIE AKCEPTUJE W RAMACH FUNDUSZU POŻYCZKOWEGO POŻYCZKI INWESTYCYJNEJ II  TRANSAKCJI POMIĘDZY PODMIOTAMI POWIĄZANYMI. </w:t>
      </w:r>
    </w:p>
    <w:p w14:paraId="700159EA" w14:textId="25FBE46A" w:rsidR="00A74535" w:rsidRDefault="00A74535"/>
    <w:sectPr w:rsidR="00A74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41EB" w14:textId="77777777" w:rsidR="003347FE" w:rsidRDefault="003347FE" w:rsidP="00A74535">
      <w:pPr>
        <w:spacing w:after="0" w:line="240" w:lineRule="auto"/>
      </w:pPr>
      <w:r>
        <w:separator/>
      </w:r>
    </w:p>
  </w:endnote>
  <w:endnote w:type="continuationSeparator" w:id="0">
    <w:p w14:paraId="4A210FFA" w14:textId="77777777" w:rsidR="003347FE" w:rsidRDefault="003347FE" w:rsidP="00A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204E" w14:textId="77777777" w:rsidR="00A74535" w:rsidRDefault="00A74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B0E9" w14:textId="079305E4" w:rsidR="00A74535" w:rsidRPr="00A74535" w:rsidRDefault="00A74535" w:rsidP="00A7453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5A8F0" wp14:editId="1A1C4E3E">
          <wp:simplePos x="0" y="0"/>
          <wp:positionH relativeFrom="column">
            <wp:posOffset>-629130</wp:posOffset>
          </wp:positionH>
          <wp:positionV relativeFrom="paragraph">
            <wp:posOffset>-208915</wp:posOffset>
          </wp:positionV>
          <wp:extent cx="7153910" cy="80986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10" cy="80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9531" w14:textId="77777777" w:rsidR="00A74535" w:rsidRDefault="00A74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D941" w14:textId="77777777" w:rsidR="003347FE" w:rsidRDefault="003347FE" w:rsidP="00A74535">
      <w:pPr>
        <w:spacing w:after="0" w:line="240" w:lineRule="auto"/>
      </w:pPr>
      <w:r>
        <w:separator/>
      </w:r>
    </w:p>
  </w:footnote>
  <w:footnote w:type="continuationSeparator" w:id="0">
    <w:p w14:paraId="129C294B" w14:textId="77777777" w:rsidR="003347FE" w:rsidRDefault="003347FE" w:rsidP="00A74535">
      <w:pPr>
        <w:spacing w:after="0" w:line="240" w:lineRule="auto"/>
      </w:pPr>
      <w:r>
        <w:continuationSeparator/>
      </w:r>
    </w:p>
  </w:footnote>
  <w:footnote w:id="1">
    <w:p w14:paraId="7EDCA86A" w14:textId="77777777" w:rsidR="009C2D6C" w:rsidRDefault="009C2D6C" w:rsidP="009C2D6C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Ostateczna forma zabezpieczenia uzależniona jest od akceptacji FRW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851A" w14:textId="77777777" w:rsidR="00A74535" w:rsidRDefault="00A74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33D2" w14:textId="522F2F70" w:rsidR="00A74535" w:rsidRPr="00A74535" w:rsidRDefault="00A74535" w:rsidP="00A745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BC841" wp14:editId="651CA4BF">
          <wp:simplePos x="0" y="0"/>
          <wp:positionH relativeFrom="column">
            <wp:posOffset>-712768</wp:posOffset>
          </wp:positionH>
          <wp:positionV relativeFrom="paragraph">
            <wp:posOffset>-356222</wp:posOffset>
          </wp:positionV>
          <wp:extent cx="7154215" cy="727093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15" cy="727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2A20" w14:textId="77777777" w:rsidR="00A74535" w:rsidRDefault="00A74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36BE8"/>
    <w:multiLevelType w:val="hybridMultilevel"/>
    <w:tmpl w:val="E08C0858"/>
    <w:lvl w:ilvl="0" w:tplc="70C017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D022098" w:tentative="1">
      <w:start w:val="1"/>
      <w:numFmt w:val="lowerLetter"/>
      <w:lvlText w:val="%2."/>
      <w:lvlJc w:val="left"/>
      <w:pPr>
        <w:ind w:left="2160" w:hanging="360"/>
      </w:pPr>
    </w:lvl>
    <w:lvl w:ilvl="2" w:tplc="D2F0CA9A" w:tentative="1">
      <w:start w:val="1"/>
      <w:numFmt w:val="lowerRoman"/>
      <w:lvlText w:val="%3."/>
      <w:lvlJc w:val="right"/>
      <w:pPr>
        <w:ind w:left="2880" w:hanging="180"/>
      </w:pPr>
    </w:lvl>
    <w:lvl w:ilvl="3" w:tplc="30FA5530" w:tentative="1">
      <w:start w:val="1"/>
      <w:numFmt w:val="decimal"/>
      <w:lvlText w:val="%4."/>
      <w:lvlJc w:val="left"/>
      <w:pPr>
        <w:ind w:left="3600" w:hanging="360"/>
      </w:pPr>
    </w:lvl>
    <w:lvl w:ilvl="4" w:tplc="84E4C8E8" w:tentative="1">
      <w:start w:val="1"/>
      <w:numFmt w:val="lowerLetter"/>
      <w:lvlText w:val="%5."/>
      <w:lvlJc w:val="left"/>
      <w:pPr>
        <w:ind w:left="4320" w:hanging="360"/>
      </w:pPr>
    </w:lvl>
    <w:lvl w:ilvl="5" w:tplc="2408C3A6" w:tentative="1">
      <w:start w:val="1"/>
      <w:numFmt w:val="lowerRoman"/>
      <w:lvlText w:val="%6."/>
      <w:lvlJc w:val="right"/>
      <w:pPr>
        <w:ind w:left="5040" w:hanging="180"/>
      </w:pPr>
    </w:lvl>
    <w:lvl w:ilvl="6" w:tplc="3106374E" w:tentative="1">
      <w:start w:val="1"/>
      <w:numFmt w:val="decimal"/>
      <w:lvlText w:val="%7."/>
      <w:lvlJc w:val="left"/>
      <w:pPr>
        <w:ind w:left="5760" w:hanging="360"/>
      </w:pPr>
    </w:lvl>
    <w:lvl w:ilvl="7" w:tplc="240A014E" w:tentative="1">
      <w:start w:val="1"/>
      <w:numFmt w:val="lowerLetter"/>
      <w:lvlText w:val="%8."/>
      <w:lvlJc w:val="left"/>
      <w:pPr>
        <w:ind w:left="6480" w:hanging="360"/>
      </w:pPr>
    </w:lvl>
    <w:lvl w:ilvl="8" w:tplc="6A00E7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036D0A"/>
    <w:multiLevelType w:val="hybridMultilevel"/>
    <w:tmpl w:val="B44E95B6"/>
    <w:lvl w:ilvl="0" w:tplc="15803A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5DD40806" w:tentative="1">
      <w:start w:val="1"/>
      <w:numFmt w:val="lowerLetter"/>
      <w:lvlText w:val="%2."/>
      <w:lvlJc w:val="left"/>
      <w:pPr>
        <w:ind w:left="1440" w:hanging="360"/>
      </w:pPr>
    </w:lvl>
    <w:lvl w:ilvl="2" w:tplc="52EEE380" w:tentative="1">
      <w:start w:val="1"/>
      <w:numFmt w:val="lowerRoman"/>
      <w:lvlText w:val="%3."/>
      <w:lvlJc w:val="right"/>
      <w:pPr>
        <w:ind w:left="2160" w:hanging="180"/>
      </w:pPr>
    </w:lvl>
    <w:lvl w:ilvl="3" w:tplc="57468A20" w:tentative="1">
      <w:start w:val="1"/>
      <w:numFmt w:val="decimal"/>
      <w:lvlText w:val="%4."/>
      <w:lvlJc w:val="left"/>
      <w:pPr>
        <w:ind w:left="2880" w:hanging="360"/>
      </w:pPr>
    </w:lvl>
    <w:lvl w:ilvl="4" w:tplc="8E82861C" w:tentative="1">
      <w:start w:val="1"/>
      <w:numFmt w:val="lowerLetter"/>
      <w:lvlText w:val="%5."/>
      <w:lvlJc w:val="left"/>
      <w:pPr>
        <w:ind w:left="3600" w:hanging="360"/>
      </w:pPr>
    </w:lvl>
    <w:lvl w:ilvl="5" w:tplc="83527B7E" w:tentative="1">
      <w:start w:val="1"/>
      <w:numFmt w:val="lowerRoman"/>
      <w:lvlText w:val="%6."/>
      <w:lvlJc w:val="right"/>
      <w:pPr>
        <w:ind w:left="4320" w:hanging="180"/>
      </w:pPr>
    </w:lvl>
    <w:lvl w:ilvl="6" w:tplc="02E0B124" w:tentative="1">
      <w:start w:val="1"/>
      <w:numFmt w:val="decimal"/>
      <w:lvlText w:val="%7."/>
      <w:lvlJc w:val="left"/>
      <w:pPr>
        <w:ind w:left="5040" w:hanging="360"/>
      </w:pPr>
    </w:lvl>
    <w:lvl w:ilvl="7" w:tplc="5CE8881A" w:tentative="1">
      <w:start w:val="1"/>
      <w:numFmt w:val="lowerLetter"/>
      <w:lvlText w:val="%8."/>
      <w:lvlJc w:val="left"/>
      <w:pPr>
        <w:ind w:left="5760" w:hanging="360"/>
      </w:pPr>
    </w:lvl>
    <w:lvl w:ilvl="8" w:tplc="DDEA0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9DB"/>
    <w:multiLevelType w:val="hybridMultilevel"/>
    <w:tmpl w:val="4B3835E4"/>
    <w:lvl w:ilvl="0" w:tplc="DDE64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665340" w:tentative="1">
      <w:start w:val="1"/>
      <w:numFmt w:val="lowerLetter"/>
      <w:lvlText w:val="%2."/>
      <w:lvlJc w:val="left"/>
      <w:pPr>
        <w:ind w:left="1440" w:hanging="360"/>
      </w:pPr>
    </w:lvl>
    <w:lvl w:ilvl="2" w:tplc="4A841C16" w:tentative="1">
      <w:start w:val="1"/>
      <w:numFmt w:val="lowerRoman"/>
      <w:lvlText w:val="%3."/>
      <w:lvlJc w:val="right"/>
      <w:pPr>
        <w:ind w:left="2160" w:hanging="180"/>
      </w:pPr>
    </w:lvl>
    <w:lvl w:ilvl="3" w:tplc="E8640A88" w:tentative="1">
      <w:start w:val="1"/>
      <w:numFmt w:val="decimal"/>
      <w:lvlText w:val="%4."/>
      <w:lvlJc w:val="left"/>
      <w:pPr>
        <w:ind w:left="2880" w:hanging="360"/>
      </w:pPr>
    </w:lvl>
    <w:lvl w:ilvl="4" w:tplc="4C3C22FA" w:tentative="1">
      <w:start w:val="1"/>
      <w:numFmt w:val="lowerLetter"/>
      <w:lvlText w:val="%5."/>
      <w:lvlJc w:val="left"/>
      <w:pPr>
        <w:ind w:left="3600" w:hanging="360"/>
      </w:pPr>
    </w:lvl>
    <w:lvl w:ilvl="5" w:tplc="2FD21484" w:tentative="1">
      <w:start w:val="1"/>
      <w:numFmt w:val="lowerRoman"/>
      <w:lvlText w:val="%6."/>
      <w:lvlJc w:val="right"/>
      <w:pPr>
        <w:ind w:left="4320" w:hanging="180"/>
      </w:pPr>
    </w:lvl>
    <w:lvl w:ilvl="6" w:tplc="87AAFAAA" w:tentative="1">
      <w:start w:val="1"/>
      <w:numFmt w:val="decimal"/>
      <w:lvlText w:val="%7."/>
      <w:lvlJc w:val="left"/>
      <w:pPr>
        <w:ind w:left="5040" w:hanging="360"/>
      </w:pPr>
    </w:lvl>
    <w:lvl w:ilvl="7" w:tplc="D31C922A" w:tentative="1">
      <w:start w:val="1"/>
      <w:numFmt w:val="lowerLetter"/>
      <w:lvlText w:val="%8."/>
      <w:lvlJc w:val="left"/>
      <w:pPr>
        <w:ind w:left="5760" w:hanging="360"/>
      </w:pPr>
    </w:lvl>
    <w:lvl w:ilvl="8" w:tplc="039A7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0F41"/>
    <w:multiLevelType w:val="hybridMultilevel"/>
    <w:tmpl w:val="BD004476"/>
    <w:lvl w:ilvl="0" w:tplc="D8E4249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62456D8" w:tentative="1">
      <w:start w:val="1"/>
      <w:numFmt w:val="lowerLetter"/>
      <w:lvlText w:val="%2."/>
      <w:lvlJc w:val="left"/>
      <w:pPr>
        <w:ind w:left="2160" w:hanging="360"/>
      </w:pPr>
    </w:lvl>
    <w:lvl w:ilvl="2" w:tplc="F268229E" w:tentative="1">
      <w:start w:val="1"/>
      <w:numFmt w:val="lowerRoman"/>
      <w:lvlText w:val="%3."/>
      <w:lvlJc w:val="right"/>
      <w:pPr>
        <w:ind w:left="2880" w:hanging="180"/>
      </w:pPr>
    </w:lvl>
    <w:lvl w:ilvl="3" w:tplc="892030E2" w:tentative="1">
      <w:start w:val="1"/>
      <w:numFmt w:val="decimal"/>
      <w:lvlText w:val="%4."/>
      <w:lvlJc w:val="left"/>
      <w:pPr>
        <w:ind w:left="3600" w:hanging="360"/>
      </w:pPr>
    </w:lvl>
    <w:lvl w:ilvl="4" w:tplc="B178E9B8" w:tentative="1">
      <w:start w:val="1"/>
      <w:numFmt w:val="lowerLetter"/>
      <w:lvlText w:val="%5."/>
      <w:lvlJc w:val="left"/>
      <w:pPr>
        <w:ind w:left="4320" w:hanging="360"/>
      </w:pPr>
    </w:lvl>
    <w:lvl w:ilvl="5" w:tplc="E3F6D148" w:tentative="1">
      <w:start w:val="1"/>
      <w:numFmt w:val="lowerRoman"/>
      <w:lvlText w:val="%6."/>
      <w:lvlJc w:val="right"/>
      <w:pPr>
        <w:ind w:left="5040" w:hanging="180"/>
      </w:pPr>
    </w:lvl>
    <w:lvl w:ilvl="6" w:tplc="6AACE7B4" w:tentative="1">
      <w:start w:val="1"/>
      <w:numFmt w:val="decimal"/>
      <w:lvlText w:val="%7."/>
      <w:lvlJc w:val="left"/>
      <w:pPr>
        <w:ind w:left="5760" w:hanging="360"/>
      </w:pPr>
    </w:lvl>
    <w:lvl w:ilvl="7" w:tplc="81B217EE" w:tentative="1">
      <w:start w:val="1"/>
      <w:numFmt w:val="lowerLetter"/>
      <w:lvlText w:val="%8."/>
      <w:lvlJc w:val="left"/>
      <w:pPr>
        <w:ind w:left="6480" w:hanging="360"/>
      </w:pPr>
    </w:lvl>
    <w:lvl w:ilvl="8" w:tplc="608411C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5"/>
    <w:rsid w:val="000A1069"/>
    <w:rsid w:val="003347FE"/>
    <w:rsid w:val="009C2D6C"/>
    <w:rsid w:val="00A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C6A4"/>
  <w15:chartTrackingRefBased/>
  <w15:docId w15:val="{5250993B-DC42-4B61-92AD-F341B13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535"/>
  </w:style>
  <w:style w:type="paragraph" w:styleId="Stopka">
    <w:name w:val="footer"/>
    <w:basedOn w:val="Normalny"/>
    <w:link w:val="Stopka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5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D6C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C2D6C"/>
  </w:style>
  <w:style w:type="paragraph" w:styleId="Akapitzlist">
    <w:name w:val="List Paragraph"/>
    <w:basedOn w:val="Normalny"/>
    <w:link w:val="AkapitzlistZnak"/>
    <w:uiPriority w:val="34"/>
    <w:qFormat/>
    <w:rsid w:val="009C2D6C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9C2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Justyna Parla</cp:lastModifiedBy>
  <cp:revision>2</cp:revision>
  <dcterms:created xsi:type="dcterms:W3CDTF">2022-07-05T08:58:00Z</dcterms:created>
  <dcterms:modified xsi:type="dcterms:W3CDTF">2022-07-05T08:58:00Z</dcterms:modified>
</cp:coreProperties>
</file>